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eastAsia="方正小标宋简体"/>
          <w:color w:val="000000"/>
          <w:sz w:val="72"/>
          <w:szCs w:val="72"/>
        </w:rPr>
      </w:pPr>
      <w:bookmarkStart w:id="0" w:name="_Toc15306267"/>
    </w:p>
    <w:p>
      <w:pPr>
        <w:spacing w:line="600" w:lineRule="exact"/>
        <w:jc w:val="center"/>
        <w:outlineLvl w:val="0"/>
        <w:rPr>
          <w:rFonts w:ascii="方正小标宋简体" w:eastAsia="方正小标宋简体"/>
          <w:color w:val="000000"/>
          <w:sz w:val="72"/>
          <w:szCs w:val="72"/>
        </w:rPr>
      </w:pPr>
    </w:p>
    <w:p>
      <w:pPr>
        <w:spacing w:line="600" w:lineRule="exact"/>
        <w:jc w:val="center"/>
        <w:outlineLvl w:val="0"/>
        <w:rPr>
          <w:rFonts w:ascii="方正小标宋简体" w:eastAsia="方正小标宋简体"/>
          <w:color w:val="000000"/>
          <w:sz w:val="72"/>
          <w:szCs w:val="72"/>
        </w:rPr>
      </w:pPr>
    </w:p>
    <w:p>
      <w:pPr>
        <w:jc w:val="center"/>
        <w:rPr>
          <w:rFonts w:ascii="黑体" w:eastAsia="黑体"/>
          <w:sz w:val="72"/>
          <w:szCs w:val="72"/>
        </w:rPr>
      </w:pPr>
      <w:bookmarkStart w:id="1" w:name="_Toc15396597"/>
      <w:bookmarkStart w:id="2" w:name="_Toc15377193"/>
      <w:bookmarkStart w:id="3" w:name="_Toc15378441"/>
      <w:bookmarkStart w:id="4" w:name="_Toc15377425"/>
      <w:bookmarkStart w:id="5" w:name="_Toc15396475"/>
      <w:r>
        <w:rPr>
          <w:rFonts w:ascii="黑体" w:eastAsia="黑体"/>
          <w:sz w:val="72"/>
          <w:szCs w:val="72"/>
        </w:rPr>
        <w:t>2020</w:t>
      </w:r>
      <w:r>
        <w:rPr>
          <w:rFonts w:hint="eastAsia" w:ascii="黑体" w:eastAsia="黑体"/>
          <w:sz w:val="72"/>
          <w:szCs w:val="72"/>
        </w:rPr>
        <w:t>年度</w:t>
      </w:r>
      <w:bookmarkEnd w:id="1"/>
      <w:bookmarkEnd w:id="2"/>
      <w:bookmarkEnd w:id="3"/>
      <w:bookmarkEnd w:id="4"/>
      <w:bookmarkEnd w:id="5"/>
    </w:p>
    <w:p>
      <w:pPr>
        <w:jc w:val="center"/>
        <w:rPr>
          <w:rFonts w:ascii="方正小标宋简体" w:eastAsia="方正小标宋简体"/>
          <w:sz w:val="72"/>
          <w:szCs w:val="72"/>
        </w:rPr>
      </w:pPr>
      <w:bookmarkStart w:id="6" w:name="_Toc15377194"/>
      <w:bookmarkStart w:id="7" w:name="_Toc15377426"/>
      <w:bookmarkStart w:id="8" w:name="_Toc15396476"/>
      <w:bookmarkStart w:id="9" w:name="_Toc15396598"/>
      <w:bookmarkStart w:id="10" w:name="_Toc15378442"/>
      <w:r>
        <w:rPr>
          <w:rFonts w:hint="eastAsia" w:ascii="方正小标宋简体" w:eastAsia="方正小标宋简体"/>
          <w:sz w:val="72"/>
          <w:szCs w:val="72"/>
        </w:rPr>
        <w:t>四川省</w:t>
      </w:r>
      <w:bookmarkStart w:id="154" w:name="_GoBack"/>
      <w:r>
        <w:rPr>
          <w:rFonts w:hint="eastAsia" w:ascii="方正小标宋简体" w:eastAsia="方正小标宋简体"/>
          <w:sz w:val="72"/>
          <w:szCs w:val="72"/>
        </w:rPr>
        <w:t>阿坝州</w:t>
      </w:r>
      <w:bookmarkEnd w:id="0"/>
      <w:bookmarkStart w:id="11" w:name="_Toc15306268"/>
      <w:r>
        <w:rPr>
          <w:rFonts w:hint="eastAsia" w:ascii="方正小标宋简体" w:eastAsia="方正小标宋简体"/>
          <w:sz w:val="72"/>
          <w:szCs w:val="72"/>
        </w:rPr>
        <w:t>机关后勤</w:t>
      </w:r>
    </w:p>
    <w:p>
      <w:pPr>
        <w:jc w:val="center"/>
        <w:rPr>
          <w:rFonts w:ascii="方正小标宋简体" w:eastAsia="方正小标宋简体"/>
          <w:sz w:val="36"/>
          <w:szCs w:val="36"/>
        </w:rPr>
      </w:pPr>
      <w:r>
        <w:rPr>
          <w:rFonts w:hint="eastAsia" w:ascii="方正小标宋简体" w:eastAsia="方正小标宋简体"/>
          <w:sz w:val="72"/>
          <w:szCs w:val="72"/>
        </w:rPr>
        <w:t>服务中心部门决算</w:t>
      </w:r>
      <w:bookmarkEnd w:id="6"/>
      <w:bookmarkEnd w:id="7"/>
      <w:bookmarkEnd w:id="8"/>
      <w:bookmarkEnd w:id="9"/>
      <w:bookmarkEnd w:id="10"/>
      <w:bookmarkEnd w:id="11"/>
    </w:p>
    <w:bookmarkEnd w:id="154"/>
    <w:p>
      <w:pPr>
        <w:rPr>
          <w:rFonts w:ascii="方正小标宋简体" w:eastAsia="方正小标宋简体"/>
          <w:sz w:val="36"/>
          <w:szCs w:val="36"/>
        </w:rPr>
      </w:pPr>
    </w:p>
    <w:p>
      <w:pPr>
        <w:rPr>
          <w:rFonts w:ascii="方正小标宋简体" w:eastAsia="方正小标宋简体"/>
          <w:sz w:val="36"/>
          <w:szCs w:val="36"/>
        </w:rPr>
      </w:pPr>
    </w:p>
    <w:p>
      <w:pPr>
        <w:rPr>
          <w:rFonts w:ascii="方正小标宋简体" w:eastAsia="方正小标宋简体"/>
          <w:sz w:val="36"/>
          <w:szCs w:val="36"/>
        </w:rPr>
      </w:pPr>
    </w:p>
    <w:p>
      <w:pPr>
        <w:rPr>
          <w:rFonts w:ascii="方正小标宋简体" w:eastAsia="方正小标宋简体"/>
          <w:sz w:val="36"/>
          <w:szCs w:val="36"/>
        </w:rPr>
      </w:pPr>
    </w:p>
    <w:p>
      <w:pPr>
        <w:rPr>
          <w:rFonts w:ascii="方正小标宋简体" w:eastAsia="方正小标宋简体"/>
          <w:sz w:val="36"/>
          <w:szCs w:val="36"/>
        </w:rPr>
      </w:pPr>
    </w:p>
    <w:p>
      <w:pPr>
        <w:autoSpaceDE w:val="0"/>
        <w:autoSpaceDN w:val="0"/>
        <w:adjustRightInd w:val="0"/>
        <w:ind w:left="420" w:leftChars="200"/>
        <w:jc w:val="left"/>
        <w:rPr>
          <w:rFonts w:ascii="宋体" w:cs="仿宋_GB2312"/>
          <w:sz w:val="32"/>
          <w:szCs w:val="32"/>
        </w:rPr>
      </w:pPr>
    </w:p>
    <w:p>
      <w:pPr>
        <w:autoSpaceDE w:val="0"/>
        <w:autoSpaceDN w:val="0"/>
        <w:adjustRightInd w:val="0"/>
        <w:ind w:left="420" w:leftChars="200"/>
        <w:jc w:val="left"/>
        <w:rPr>
          <w:rFonts w:ascii="宋体" w:cs="仿宋_GB2312"/>
          <w:sz w:val="32"/>
          <w:szCs w:val="32"/>
        </w:rPr>
      </w:pPr>
    </w:p>
    <w:p>
      <w:pPr>
        <w:autoSpaceDE w:val="0"/>
        <w:autoSpaceDN w:val="0"/>
        <w:adjustRightInd w:val="0"/>
        <w:ind w:left="420" w:leftChars="200"/>
        <w:jc w:val="left"/>
        <w:rPr>
          <w:rFonts w:ascii="宋体" w:cs="仿宋_GB2312"/>
          <w:sz w:val="32"/>
          <w:szCs w:val="32"/>
        </w:rPr>
      </w:pPr>
    </w:p>
    <w:p>
      <w:pPr>
        <w:autoSpaceDE w:val="0"/>
        <w:autoSpaceDN w:val="0"/>
        <w:adjustRightInd w:val="0"/>
        <w:ind w:left="420" w:leftChars="200"/>
        <w:jc w:val="left"/>
        <w:rPr>
          <w:rFonts w:ascii="宋体" w:cs="仿宋_GB2312"/>
          <w:sz w:val="32"/>
          <w:szCs w:val="32"/>
        </w:rPr>
      </w:pPr>
    </w:p>
    <w:p>
      <w:pPr>
        <w:autoSpaceDE w:val="0"/>
        <w:autoSpaceDN w:val="0"/>
        <w:adjustRightInd w:val="0"/>
        <w:ind w:left="420" w:leftChars="200"/>
        <w:jc w:val="left"/>
        <w:rPr>
          <w:rFonts w:ascii="宋体"/>
          <w:sz w:val="32"/>
          <w:szCs w:val="32"/>
        </w:rPr>
      </w:pPr>
      <w:r>
        <w:rPr>
          <w:rFonts w:hint="eastAsia" w:ascii="宋体" w:cs="仿宋_GB2312"/>
          <w:sz w:val="32"/>
          <w:szCs w:val="32"/>
        </w:rPr>
        <w:t>保密审查情况：已审查，内容审定</w:t>
      </w:r>
    </w:p>
    <w:p>
      <w:pPr>
        <w:autoSpaceDE w:val="0"/>
        <w:autoSpaceDN w:val="0"/>
        <w:adjustRightInd w:val="0"/>
        <w:ind w:left="420" w:leftChars="200"/>
        <w:jc w:val="left"/>
        <w:rPr>
          <w:rFonts w:ascii="宋体"/>
          <w:sz w:val="32"/>
          <w:szCs w:val="32"/>
        </w:rPr>
      </w:pPr>
      <w:r>
        <w:rPr>
          <w:rFonts w:hint="eastAsia" w:ascii="宋体" w:cs="仿宋_GB2312"/>
          <w:sz w:val="32"/>
          <w:szCs w:val="32"/>
        </w:rPr>
        <w:t>部门主要负责人审签情况：已审签，同意对外公开</w:t>
      </w:r>
    </w:p>
    <w:p>
      <w:pPr>
        <w:widowControl/>
        <w:jc w:val="center"/>
        <w:rPr>
          <w:rFonts w:ascii="方正小标宋简体" w:eastAsia="方正小标宋简体"/>
          <w:color w:val="000000"/>
          <w:sz w:val="36"/>
          <w:szCs w:val="36"/>
        </w:rPr>
      </w:pPr>
    </w:p>
    <w:p>
      <w:pPr>
        <w:widowControl/>
        <w:jc w:val="center"/>
        <w:rPr>
          <w:rFonts w:ascii="黑体" w:eastAsia="黑体"/>
          <w:color w:val="000000"/>
          <w:sz w:val="48"/>
          <w:szCs w:val="48"/>
        </w:rPr>
      </w:pPr>
      <w:r>
        <w:rPr>
          <w:rFonts w:ascii="方正小标宋简体" w:eastAsia="方正小标宋简体"/>
          <w:sz w:val="36"/>
          <w:szCs w:val="36"/>
        </w:rPr>
        <w:br w:type="page"/>
      </w:r>
      <w:r>
        <w:rPr>
          <w:rFonts w:hint="eastAsia" w:ascii="黑体" w:eastAsia="黑体"/>
          <w:color w:val="000000"/>
          <w:sz w:val="48"/>
          <w:szCs w:val="48"/>
        </w:rPr>
        <w:t>目录</w:t>
      </w:r>
    </w:p>
    <w:p>
      <w:pPr>
        <w:pStyle w:val="13"/>
        <w:jc w:val="center"/>
        <w:rPr>
          <w:b w:val="0"/>
          <w:bCs w:val="0"/>
          <w:sz w:val="24"/>
          <w:szCs w:val="24"/>
        </w:rPr>
      </w:pPr>
      <w:r>
        <w:rPr>
          <w:rFonts w:hint="eastAsia"/>
          <w:b w:val="0"/>
          <w:bCs w:val="0"/>
          <w:sz w:val="24"/>
          <w:szCs w:val="24"/>
        </w:rPr>
        <w:t xml:space="preserve">公开时间：2021年 </w:t>
      </w:r>
      <w:r>
        <w:rPr>
          <w:b w:val="0"/>
          <w:bCs w:val="0"/>
          <w:sz w:val="24"/>
          <w:szCs w:val="24"/>
        </w:rPr>
        <w:t>9</w:t>
      </w:r>
      <w:r>
        <w:rPr>
          <w:rFonts w:hint="eastAsia"/>
          <w:b w:val="0"/>
          <w:bCs w:val="0"/>
          <w:sz w:val="24"/>
          <w:szCs w:val="24"/>
        </w:rPr>
        <w:t>月</w:t>
      </w:r>
      <w:r>
        <w:rPr>
          <w:b w:val="0"/>
          <w:bCs w:val="0"/>
          <w:sz w:val="24"/>
          <w:szCs w:val="24"/>
        </w:rPr>
        <w:t>25</w:t>
      </w:r>
      <w:r>
        <w:rPr>
          <w:rFonts w:hint="eastAsia"/>
          <w:b w:val="0"/>
          <w:bCs w:val="0"/>
          <w:sz w:val="24"/>
          <w:szCs w:val="24"/>
        </w:rPr>
        <w:t xml:space="preserve"> 日</w:t>
      </w:r>
    </w:p>
    <w:p>
      <w:pPr>
        <w:pStyle w:val="13"/>
        <w:tabs>
          <w:tab w:val="right" w:leader="dot" w:pos="8306"/>
        </w:tabs>
      </w:pPr>
      <w:r>
        <w:rPr>
          <w:b w:val="0"/>
          <w:bCs w:val="0"/>
          <w:caps w:val="0"/>
          <w:smallCaps w:val="0"/>
        </w:rPr>
        <w:fldChar w:fldCharType="begin"/>
      </w:r>
      <w:r>
        <w:rPr>
          <w:b w:val="0"/>
          <w:bCs w:val="0"/>
          <w:caps w:val="0"/>
          <w:smallCaps w:val="0"/>
        </w:rPr>
        <w:instrText xml:space="preserve"> TOC \o \u </w:instrText>
      </w:r>
      <w:r>
        <w:rPr>
          <w:b w:val="0"/>
          <w:bCs w:val="0"/>
          <w:caps w:val="0"/>
          <w:smallCaps w:val="0"/>
        </w:rPr>
        <w:fldChar w:fldCharType="separate"/>
      </w:r>
      <w:r>
        <w:rPr>
          <w:rFonts w:hint="eastAsia" w:ascii="黑体" w:eastAsia="黑体"/>
        </w:rPr>
        <w:t>第一部分</w:t>
      </w:r>
      <w:r>
        <w:rPr>
          <w:rFonts w:ascii="黑体" w:eastAsia="黑体"/>
        </w:rPr>
        <w:t xml:space="preserve"> </w:t>
      </w:r>
      <w:r>
        <w:rPr>
          <w:rFonts w:hint="eastAsia" w:ascii="黑体" w:eastAsia="黑体"/>
          <w:bCs w:val="0"/>
        </w:rPr>
        <w:t>部门概况</w:t>
      </w:r>
      <w:r>
        <w:tab/>
      </w:r>
      <w:r>
        <w:fldChar w:fldCharType="begin"/>
      </w:r>
      <w:r>
        <w:instrText xml:space="preserve"> PAGEREF _Toc27552 \h </w:instrText>
      </w:r>
      <w:r>
        <w:fldChar w:fldCharType="separate"/>
      </w:r>
      <w:r>
        <w:t>3</w:t>
      </w:r>
      <w:r>
        <w:fldChar w:fldCharType="end"/>
      </w:r>
    </w:p>
    <w:p>
      <w:pPr>
        <w:pStyle w:val="16"/>
        <w:tabs>
          <w:tab w:val="right" w:leader="dot" w:pos="8306"/>
        </w:tabs>
      </w:pPr>
      <w:r>
        <w:rPr>
          <w:rFonts w:hint="eastAsia" w:ascii="黑体" w:eastAsia="黑体"/>
          <w:color w:val="000000"/>
        </w:rPr>
        <w:t>一、基</w:t>
      </w:r>
      <w:r>
        <w:rPr>
          <w:rFonts w:hint="eastAsia" w:ascii="黑体" w:eastAsia="黑体"/>
        </w:rPr>
        <w:t>本职能及主要工作</w:t>
      </w:r>
      <w:r>
        <w:tab/>
      </w:r>
      <w:r>
        <w:fldChar w:fldCharType="begin"/>
      </w:r>
      <w:r>
        <w:instrText xml:space="preserve"> PAGEREF _Toc19008 \h </w:instrText>
      </w:r>
      <w:r>
        <w:fldChar w:fldCharType="separate"/>
      </w:r>
      <w:r>
        <w:t>3</w:t>
      </w:r>
      <w:r>
        <w:fldChar w:fldCharType="end"/>
      </w:r>
    </w:p>
    <w:p>
      <w:pPr>
        <w:pStyle w:val="8"/>
        <w:tabs>
          <w:tab w:val="right" w:leader="dot" w:pos="8306"/>
        </w:tabs>
      </w:pPr>
      <w:r>
        <w:rPr>
          <w:rFonts w:hint="eastAsia" w:ascii="仿宋" w:eastAsia="仿宋"/>
          <w:bCs/>
          <w:color w:val="000000"/>
          <w:szCs w:val="32"/>
        </w:rPr>
        <w:t>（一）主要职能。</w:t>
      </w:r>
      <w:r>
        <w:tab/>
      </w:r>
      <w:r>
        <w:fldChar w:fldCharType="begin"/>
      </w:r>
      <w:r>
        <w:instrText xml:space="preserve"> PAGEREF _Toc18998 \h </w:instrText>
      </w:r>
      <w:r>
        <w:fldChar w:fldCharType="separate"/>
      </w:r>
      <w:r>
        <w:t>3</w:t>
      </w:r>
      <w:r>
        <w:fldChar w:fldCharType="end"/>
      </w:r>
    </w:p>
    <w:p>
      <w:pPr>
        <w:pStyle w:val="8"/>
        <w:tabs>
          <w:tab w:val="right" w:leader="dot" w:pos="8306"/>
        </w:tabs>
      </w:pPr>
      <w:r>
        <w:rPr>
          <w:rFonts w:hint="eastAsia" w:ascii="仿宋" w:eastAsia="仿宋"/>
          <w:bCs/>
          <w:color w:val="000000"/>
          <w:szCs w:val="32"/>
        </w:rPr>
        <w:t>（二）</w:t>
      </w:r>
      <w:r>
        <w:rPr>
          <w:rFonts w:ascii="仿宋" w:eastAsia="仿宋"/>
          <w:bCs/>
          <w:color w:val="000000"/>
          <w:szCs w:val="32"/>
        </w:rPr>
        <w:t>2020</w:t>
      </w:r>
      <w:r>
        <w:rPr>
          <w:rFonts w:hint="eastAsia" w:ascii="仿宋" w:eastAsia="仿宋"/>
          <w:bCs/>
          <w:color w:val="000000"/>
          <w:szCs w:val="32"/>
        </w:rPr>
        <w:t>年重点工作完成情况。</w:t>
      </w:r>
      <w:r>
        <w:tab/>
      </w:r>
      <w:r>
        <w:fldChar w:fldCharType="begin"/>
      </w:r>
      <w:r>
        <w:instrText xml:space="preserve"> PAGEREF _Toc23495 \h </w:instrText>
      </w:r>
      <w:r>
        <w:fldChar w:fldCharType="separate"/>
      </w:r>
      <w:r>
        <w:t>3</w:t>
      </w:r>
      <w:r>
        <w:fldChar w:fldCharType="end"/>
      </w:r>
    </w:p>
    <w:p>
      <w:pPr>
        <w:pStyle w:val="16"/>
        <w:tabs>
          <w:tab w:val="right" w:leader="dot" w:pos="8306"/>
        </w:tabs>
      </w:pPr>
      <w:r>
        <w:rPr>
          <w:rFonts w:hint="eastAsia" w:ascii="黑体" w:eastAsia="黑体"/>
          <w:color w:val="000000"/>
        </w:rPr>
        <w:t>二、机</w:t>
      </w:r>
      <w:r>
        <w:rPr>
          <w:rFonts w:hint="eastAsia" w:ascii="黑体" w:eastAsia="黑体"/>
        </w:rPr>
        <w:t>构设置</w:t>
      </w:r>
      <w:r>
        <w:tab/>
      </w:r>
      <w:r>
        <w:fldChar w:fldCharType="begin"/>
      </w:r>
      <w:r>
        <w:instrText xml:space="preserve"> PAGEREF _Toc1003 \h </w:instrText>
      </w:r>
      <w:r>
        <w:fldChar w:fldCharType="separate"/>
      </w:r>
      <w:r>
        <w:t>3</w:t>
      </w:r>
      <w:r>
        <w:fldChar w:fldCharType="end"/>
      </w:r>
    </w:p>
    <w:p>
      <w:pPr>
        <w:pStyle w:val="13"/>
        <w:tabs>
          <w:tab w:val="right" w:leader="dot" w:pos="8306"/>
        </w:tabs>
      </w:pPr>
      <w:r>
        <w:rPr>
          <w:rFonts w:hint="eastAsia" w:ascii="黑体" w:eastAsia="黑体"/>
          <w:color w:val="000000"/>
        </w:rPr>
        <w:t>第二部分</w:t>
      </w:r>
      <w:r>
        <w:rPr>
          <w:rFonts w:ascii="黑体" w:eastAsia="黑体"/>
          <w:color w:val="000000"/>
        </w:rPr>
        <w:t xml:space="preserve"> </w:t>
      </w:r>
      <w:r>
        <w:rPr>
          <w:rFonts w:ascii="黑体" w:eastAsia="黑体"/>
          <w:bCs w:val="0"/>
        </w:rPr>
        <w:t>2020</w:t>
      </w:r>
      <w:r>
        <w:rPr>
          <w:rFonts w:hint="eastAsia" w:ascii="黑体" w:eastAsia="黑体"/>
          <w:bCs w:val="0"/>
        </w:rPr>
        <w:t>年度部门决算情况说明</w:t>
      </w:r>
      <w:r>
        <w:tab/>
      </w:r>
      <w:r>
        <w:fldChar w:fldCharType="begin"/>
      </w:r>
      <w:r>
        <w:instrText xml:space="preserve"> PAGEREF _Toc357 \h </w:instrText>
      </w:r>
      <w:r>
        <w:fldChar w:fldCharType="separate"/>
      </w:r>
      <w:r>
        <w:t>3</w:t>
      </w:r>
      <w:r>
        <w:fldChar w:fldCharType="end"/>
      </w:r>
    </w:p>
    <w:p>
      <w:pPr>
        <w:pStyle w:val="16"/>
        <w:tabs>
          <w:tab w:val="right" w:leader="dot" w:pos="8306"/>
        </w:tabs>
      </w:pPr>
      <w:r>
        <w:rPr>
          <w:rFonts w:ascii="黑体" w:eastAsia="黑体"/>
        </w:rPr>
        <w:t xml:space="preserve">一、 </w:t>
      </w:r>
      <w:r>
        <w:rPr>
          <w:rFonts w:hint="eastAsia" w:ascii="黑体" w:eastAsia="黑体"/>
          <w:color w:val="000000"/>
          <w:szCs w:val="32"/>
        </w:rPr>
        <w:t>收</w:t>
      </w:r>
      <w:r>
        <w:rPr>
          <w:rFonts w:hint="eastAsia" w:ascii="黑体" w:eastAsia="黑体"/>
        </w:rPr>
        <w:t>入支出决算总体情况说明</w:t>
      </w:r>
      <w:r>
        <w:tab/>
      </w:r>
      <w:r>
        <w:fldChar w:fldCharType="begin"/>
      </w:r>
      <w:r>
        <w:instrText xml:space="preserve"> PAGEREF _Toc16884 \h </w:instrText>
      </w:r>
      <w:r>
        <w:fldChar w:fldCharType="separate"/>
      </w:r>
      <w:r>
        <w:t>3</w:t>
      </w:r>
      <w:r>
        <w:fldChar w:fldCharType="end"/>
      </w:r>
    </w:p>
    <w:p>
      <w:pPr>
        <w:pStyle w:val="16"/>
        <w:tabs>
          <w:tab w:val="right" w:leader="dot" w:pos="8306"/>
        </w:tabs>
      </w:pPr>
      <w:r>
        <w:rPr>
          <w:rFonts w:ascii="黑体" w:eastAsia="黑体"/>
        </w:rPr>
        <w:t xml:space="preserve">二、 </w:t>
      </w:r>
      <w:r>
        <w:rPr>
          <w:rFonts w:hint="eastAsia" w:ascii="黑体" w:eastAsia="黑体"/>
          <w:color w:val="000000"/>
          <w:szCs w:val="32"/>
        </w:rPr>
        <w:t>收</w:t>
      </w:r>
      <w:r>
        <w:rPr>
          <w:rFonts w:hint="eastAsia" w:ascii="黑体" w:eastAsia="黑体"/>
        </w:rPr>
        <w:t>入决算情况说明</w:t>
      </w:r>
      <w:r>
        <w:tab/>
      </w:r>
      <w:r>
        <w:fldChar w:fldCharType="begin"/>
      </w:r>
      <w:r>
        <w:instrText xml:space="preserve"> PAGEREF _Toc17732 \h </w:instrText>
      </w:r>
      <w:r>
        <w:fldChar w:fldCharType="separate"/>
      </w:r>
      <w:r>
        <w:t>4</w:t>
      </w:r>
      <w:r>
        <w:fldChar w:fldCharType="end"/>
      </w:r>
    </w:p>
    <w:p>
      <w:pPr>
        <w:pStyle w:val="16"/>
        <w:tabs>
          <w:tab w:val="right" w:leader="dot" w:pos="8306"/>
        </w:tabs>
      </w:pPr>
      <w:r>
        <w:rPr>
          <w:rFonts w:ascii="黑体" w:eastAsia="黑体"/>
        </w:rPr>
        <w:t xml:space="preserve">三、 </w:t>
      </w:r>
      <w:r>
        <w:rPr>
          <w:rFonts w:hint="eastAsia" w:ascii="黑体" w:eastAsia="黑体"/>
          <w:color w:val="000000"/>
          <w:szCs w:val="32"/>
        </w:rPr>
        <w:t>支</w:t>
      </w:r>
      <w:r>
        <w:rPr>
          <w:rFonts w:hint="eastAsia" w:ascii="黑体" w:eastAsia="黑体"/>
        </w:rPr>
        <w:t>出决算情况说明</w:t>
      </w:r>
      <w:r>
        <w:tab/>
      </w:r>
      <w:r>
        <w:fldChar w:fldCharType="begin"/>
      </w:r>
      <w:r>
        <w:instrText xml:space="preserve"> PAGEREF _Toc23691 \h </w:instrText>
      </w:r>
      <w:r>
        <w:fldChar w:fldCharType="separate"/>
      </w:r>
      <w:r>
        <w:t>5</w:t>
      </w:r>
      <w:r>
        <w:fldChar w:fldCharType="end"/>
      </w:r>
    </w:p>
    <w:p>
      <w:pPr>
        <w:pStyle w:val="16"/>
        <w:tabs>
          <w:tab w:val="right" w:leader="dot" w:pos="8306"/>
        </w:tabs>
      </w:pPr>
      <w:r>
        <w:rPr>
          <w:rFonts w:hint="eastAsia" w:ascii="黑体" w:eastAsia="黑体"/>
          <w:color w:val="000000"/>
          <w:szCs w:val="32"/>
        </w:rPr>
        <w:t>四、财</w:t>
      </w:r>
      <w:r>
        <w:rPr>
          <w:rFonts w:hint="eastAsia" w:ascii="黑体" w:eastAsia="黑体"/>
        </w:rPr>
        <w:t>政拨款收入支出决算总体情况说明</w:t>
      </w:r>
      <w:r>
        <w:tab/>
      </w:r>
      <w:r>
        <w:fldChar w:fldCharType="begin"/>
      </w:r>
      <w:r>
        <w:instrText xml:space="preserve"> PAGEREF _Toc8837 \h </w:instrText>
      </w:r>
      <w:r>
        <w:fldChar w:fldCharType="separate"/>
      </w:r>
      <w:r>
        <w:t>5</w:t>
      </w:r>
      <w:r>
        <w:fldChar w:fldCharType="end"/>
      </w:r>
    </w:p>
    <w:p>
      <w:pPr>
        <w:pStyle w:val="16"/>
        <w:tabs>
          <w:tab w:val="right" w:leader="dot" w:pos="8306"/>
        </w:tabs>
      </w:pPr>
      <w:r>
        <w:rPr>
          <w:rFonts w:hint="eastAsia" w:ascii="黑体" w:eastAsia="黑体"/>
          <w:color w:val="000000"/>
          <w:szCs w:val="32"/>
        </w:rPr>
        <w:t>五、一</w:t>
      </w:r>
      <w:r>
        <w:rPr>
          <w:rFonts w:hint="eastAsia" w:ascii="黑体" w:eastAsia="黑体"/>
        </w:rPr>
        <w:t>般公共预算财政拨款支出决算情况说明</w:t>
      </w:r>
      <w:r>
        <w:tab/>
      </w:r>
      <w:r>
        <w:fldChar w:fldCharType="begin"/>
      </w:r>
      <w:r>
        <w:instrText xml:space="preserve"> PAGEREF _Toc7893 \h </w:instrText>
      </w:r>
      <w:r>
        <w:fldChar w:fldCharType="separate"/>
      </w:r>
      <w:r>
        <w:t>6</w:t>
      </w:r>
      <w:r>
        <w:fldChar w:fldCharType="end"/>
      </w:r>
    </w:p>
    <w:p>
      <w:pPr>
        <w:pStyle w:val="8"/>
        <w:tabs>
          <w:tab w:val="right" w:leader="dot" w:pos="8306"/>
        </w:tabs>
      </w:pPr>
      <w:r>
        <w:rPr>
          <w:rFonts w:hint="eastAsia" w:ascii="仿宋" w:eastAsia="仿宋"/>
          <w:color w:val="000000"/>
          <w:szCs w:val="32"/>
        </w:rPr>
        <w:t>（一）一般公共预算财政拨款支出决算总体情况</w:t>
      </w:r>
      <w:r>
        <w:tab/>
      </w:r>
      <w:r>
        <w:fldChar w:fldCharType="begin"/>
      </w:r>
      <w:r>
        <w:instrText xml:space="preserve"> PAGEREF _Toc10780 \h </w:instrText>
      </w:r>
      <w:r>
        <w:fldChar w:fldCharType="separate"/>
      </w:r>
      <w:r>
        <w:t>6</w:t>
      </w:r>
      <w:r>
        <w:fldChar w:fldCharType="end"/>
      </w:r>
    </w:p>
    <w:p>
      <w:pPr>
        <w:pStyle w:val="8"/>
        <w:tabs>
          <w:tab w:val="right" w:leader="dot" w:pos="8306"/>
        </w:tabs>
      </w:pPr>
      <w:r>
        <w:rPr>
          <w:rFonts w:hint="eastAsia" w:ascii="仿宋" w:eastAsia="仿宋"/>
          <w:color w:val="000000"/>
          <w:szCs w:val="32"/>
        </w:rPr>
        <w:t>（二）一般公共预算财政拨款支出决算结构情况</w:t>
      </w:r>
      <w:r>
        <w:tab/>
      </w:r>
      <w:r>
        <w:fldChar w:fldCharType="begin"/>
      </w:r>
      <w:r>
        <w:instrText xml:space="preserve"> PAGEREF _Toc1748 \h </w:instrText>
      </w:r>
      <w:r>
        <w:fldChar w:fldCharType="separate"/>
      </w:r>
      <w:r>
        <w:t>7</w:t>
      </w:r>
      <w:r>
        <w:fldChar w:fldCharType="end"/>
      </w:r>
    </w:p>
    <w:p>
      <w:pPr>
        <w:pStyle w:val="8"/>
        <w:tabs>
          <w:tab w:val="right" w:leader="dot" w:pos="8306"/>
        </w:tabs>
      </w:pPr>
      <w:r>
        <w:rPr>
          <w:rFonts w:hint="eastAsia" w:ascii="仿宋" w:eastAsia="仿宋"/>
          <w:color w:val="000000"/>
          <w:szCs w:val="32"/>
        </w:rPr>
        <w:t>（三）一般公共预算财政拨款支出决算具体情况</w:t>
      </w:r>
      <w:r>
        <w:tab/>
      </w:r>
      <w:r>
        <w:fldChar w:fldCharType="begin"/>
      </w:r>
      <w:r>
        <w:instrText xml:space="preserve"> PAGEREF _Toc14194 \h </w:instrText>
      </w:r>
      <w:r>
        <w:fldChar w:fldCharType="separate"/>
      </w:r>
      <w:r>
        <w:t>7</w:t>
      </w:r>
      <w:r>
        <w:fldChar w:fldCharType="end"/>
      </w:r>
    </w:p>
    <w:p>
      <w:pPr>
        <w:pStyle w:val="16"/>
        <w:tabs>
          <w:tab w:val="right" w:leader="dot" w:pos="8306"/>
        </w:tabs>
      </w:pPr>
      <w:r>
        <w:rPr>
          <w:rFonts w:hint="eastAsia" w:ascii="黑体" w:eastAsia="黑体"/>
          <w:color w:val="000000"/>
          <w:szCs w:val="32"/>
        </w:rPr>
        <w:t>六、一</w:t>
      </w:r>
      <w:r>
        <w:rPr>
          <w:rFonts w:hint="eastAsia" w:ascii="黑体" w:eastAsia="黑体"/>
        </w:rPr>
        <w:t>般公共预算财政拨款基本支出决算情况说明</w:t>
      </w:r>
      <w:r>
        <w:tab/>
      </w:r>
      <w:r>
        <w:fldChar w:fldCharType="begin"/>
      </w:r>
      <w:r>
        <w:instrText xml:space="preserve"> PAGEREF _Toc18934 \h </w:instrText>
      </w:r>
      <w:r>
        <w:fldChar w:fldCharType="separate"/>
      </w:r>
      <w:r>
        <w:t>8</w:t>
      </w:r>
      <w:r>
        <w:fldChar w:fldCharType="end"/>
      </w:r>
    </w:p>
    <w:p>
      <w:pPr>
        <w:pStyle w:val="16"/>
        <w:tabs>
          <w:tab w:val="right" w:leader="dot" w:pos="8306"/>
        </w:tabs>
      </w:pPr>
      <w:r>
        <w:rPr>
          <w:rFonts w:hint="eastAsia" w:ascii="黑体" w:eastAsia="黑体"/>
          <w:color w:val="000000"/>
          <w:szCs w:val="32"/>
        </w:rPr>
        <w:t>七、</w:t>
      </w:r>
      <w:r>
        <w:rPr>
          <w:rFonts w:hint="eastAsia" w:ascii="黑体" w:eastAsia="黑体"/>
        </w:rPr>
        <w:t>“三公”经费财政拨款支出决算情况说明</w:t>
      </w:r>
      <w:r>
        <w:tab/>
      </w:r>
      <w:r>
        <w:fldChar w:fldCharType="begin"/>
      </w:r>
      <w:r>
        <w:instrText xml:space="preserve"> PAGEREF _Toc31556 \h </w:instrText>
      </w:r>
      <w:r>
        <w:fldChar w:fldCharType="separate"/>
      </w:r>
      <w:r>
        <w:t>9</w:t>
      </w:r>
      <w:r>
        <w:fldChar w:fldCharType="end"/>
      </w:r>
    </w:p>
    <w:p>
      <w:pPr>
        <w:pStyle w:val="8"/>
        <w:tabs>
          <w:tab w:val="right" w:leader="dot" w:pos="8306"/>
        </w:tabs>
      </w:pPr>
      <w:r>
        <w:rPr>
          <w:rFonts w:hint="eastAsia" w:ascii="仿宋" w:eastAsia="仿宋"/>
          <w:color w:val="000000"/>
          <w:szCs w:val="32"/>
        </w:rPr>
        <w:t>（一）“三公”经费财政拨款支出决算总体情况说明</w:t>
      </w:r>
      <w:r>
        <w:tab/>
      </w:r>
      <w:r>
        <w:fldChar w:fldCharType="begin"/>
      </w:r>
      <w:r>
        <w:instrText xml:space="preserve"> PAGEREF _Toc27389 \h </w:instrText>
      </w:r>
      <w:r>
        <w:fldChar w:fldCharType="separate"/>
      </w:r>
      <w:r>
        <w:t>9</w:t>
      </w:r>
      <w:r>
        <w:fldChar w:fldCharType="end"/>
      </w:r>
    </w:p>
    <w:p>
      <w:pPr>
        <w:pStyle w:val="8"/>
        <w:tabs>
          <w:tab w:val="right" w:leader="dot" w:pos="8306"/>
        </w:tabs>
      </w:pPr>
      <w:r>
        <w:rPr>
          <w:rFonts w:hint="eastAsia" w:ascii="仿宋" w:eastAsia="仿宋"/>
          <w:color w:val="000000"/>
          <w:szCs w:val="32"/>
        </w:rPr>
        <w:t>（二）“三公”经费财政拨款支出决算具体情况说明</w:t>
      </w:r>
      <w:r>
        <w:tab/>
      </w:r>
      <w:r>
        <w:fldChar w:fldCharType="begin"/>
      </w:r>
      <w:r>
        <w:instrText xml:space="preserve"> PAGEREF _Toc5722 \h </w:instrText>
      </w:r>
      <w:r>
        <w:fldChar w:fldCharType="separate"/>
      </w:r>
      <w:r>
        <w:t>9</w:t>
      </w:r>
      <w:r>
        <w:fldChar w:fldCharType="end"/>
      </w:r>
    </w:p>
    <w:p>
      <w:pPr>
        <w:pStyle w:val="16"/>
        <w:tabs>
          <w:tab w:val="right" w:leader="dot" w:pos="8306"/>
        </w:tabs>
      </w:pPr>
      <w:r>
        <w:rPr>
          <w:rFonts w:hint="eastAsia" w:ascii="黑体" w:eastAsia="黑体"/>
          <w:color w:val="000000"/>
          <w:szCs w:val="32"/>
        </w:rPr>
        <w:t>八、</w:t>
      </w:r>
      <w:r>
        <w:rPr>
          <w:rFonts w:hint="eastAsia" w:ascii="黑体" w:eastAsia="黑体"/>
        </w:rPr>
        <w:t>政府性基金预算支出决算情况说明</w:t>
      </w:r>
      <w:r>
        <w:tab/>
      </w:r>
      <w:r>
        <w:fldChar w:fldCharType="begin"/>
      </w:r>
      <w:r>
        <w:instrText xml:space="preserve"> PAGEREF _Toc21592 \h </w:instrText>
      </w:r>
      <w:r>
        <w:fldChar w:fldCharType="separate"/>
      </w:r>
      <w:r>
        <w:t>10</w:t>
      </w:r>
      <w:r>
        <w:fldChar w:fldCharType="end"/>
      </w:r>
    </w:p>
    <w:p>
      <w:pPr>
        <w:pStyle w:val="16"/>
        <w:tabs>
          <w:tab w:val="right" w:leader="dot" w:pos="8306"/>
        </w:tabs>
      </w:pPr>
      <w:r>
        <w:rPr>
          <w:rFonts w:hint="eastAsia" w:ascii="黑体" w:eastAsia="黑体"/>
        </w:rPr>
        <w:t>九、 国有资本经营预算支出决算情况说明</w:t>
      </w:r>
      <w:r>
        <w:tab/>
      </w:r>
      <w:r>
        <w:fldChar w:fldCharType="begin"/>
      </w:r>
      <w:r>
        <w:instrText xml:space="preserve"> PAGEREF _Toc2824 \h </w:instrText>
      </w:r>
      <w:r>
        <w:fldChar w:fldCharType="separate"/>
      </w:r>
      <w:r>
        <w:t>10</w:t>
      </w:r>
      <w:r>
        <w:fldChar w:fldCharType="end"/>
      </w:r>
    </w:p>
    <w:p>
      <w:pPr>
        <w:pStyle w:val="16"/>
        <w:tabs>
          <w:tab w:val="right" w:leader="dot" w:pos="8306"/>
        </w:tabs>
      </w:pPr>
      <w:r>
        <w:rPr>
          <w:rFonts w:hint="eastAsia" w:ascii="黑体" w:eastAsia="黑体"/>
          <w:color w:val="000000"/>
          <w:szCs w:val="32"/>
        </w:rPr>
        <w:t>十</w:t>
      </w:r>
      <w:r>
        <w:rPr>
          <w:rFonts w:hint="eastAsia" w:ascii="黑体" w:eastAsia="黑体"/>
        </w:rPr>
        <w:t>、其他重要事项的情况说明</w:t>
      </w:r>
      <w:r>
        <w:tab/>
      </w:r>
      <w:r>
        <w:fldChar w:fldCharType="begin"/>
      </w:r>
      <w:r>
        <w:instrText xml:space="preserve"> PAGEREF _Toc16942 \h </w:instrText>
      </w:r>
      <w:r>
        <w:fldChar w:fldCharType="separate"/>
      </w:r>
      <w:r>
        <w:t>10</w:t>
      </w:r>
      <w:r>
        <w:fldChar w:fldCharType="end"/>
      </w:r>
    </w:p>
    <w:p>
      <w:pPr>
        <w:pStyle w:val="8"/>
        <w:tabs>
          <w:tab w:val="right" w:leader="dot" w:pos="8306"/>
        </w:tabs>
      </w:pPr>
      <w:r>
        <w:rPr>
          <w:rFonts w:hint="eastAsia" w:ascii="仿宋" w:eastAsia="仿宋"/>
          <w:color w:val="000000"/>
          <w:szCs w:val="32"/>
        </w:rPr>
        <w:t>（一）机关运行经费支出情况</w:t>
      </w:r>
      <w:r>
        <w:tab/>
      </w:r>
      <w:r>
        <w:fldChar w:fldCharType="begin"/>
      </w:r>
      <w:r>
        <w:instrText xml:space="preserve"> PAGEREF _Toc17297 \h </w:instrText>
      </w:r>
      <w:r>
        <w:fldChar w:fldCharType="separate"/>
      </w:r>
      <w:r>
        <w:t>11</w:t>
      </w:r>
      <w:r>
        <w:fldChar w:fldCharType="end"/>
      </w:r>
    </w:p>
    <w:p>
      <w:pPr>
        <w:pStyle w:val="8"/>
        <w:tabs>
          <w:tab w:val="right" w:leader="dot" w:pos="8306"/>
        </w:tabs>
      </w:pPr>
      <w:r>
        <w:rPr>
          <w:rFonts w:hint="eastAsia" w:ascii="仿宋" w:eastAsia="仿宋"/>
          <w:color w:val="000000"/>
          <w:szCs w:val="32"/>
        </w:rPr>
        <w:t>（二）政府采购支出情况</w:t>
      </w:r>
      <w:r>
        <w:tab/>
      </w:r>
      <w:r>
        <w:fldChar w:fldCharType="begin"/>
      </w:r>
      <w:r>
        <w:instrText xml:space="preserve"> PAGEREF _Toc24980 \h </w:instrText>
      </w:r>
      <w:r>
        <w:fldChar w:fldCharType="separate"/>
      </w:r>
      <w:r>
        <w:t>11</w:t>
      </w:r>
      <w:r>
        <w:fldChar w:fldCharType="end"/>
      </w:r>
    </w:p>
    <w:p>
      <w:pPr>
        <w:pStyle w:val="8"/>
        <w:tabs>
          <w:tab w:val="right" w:leader="dot" w:pos="8306"/>
        </w:tabs>
      </w:pPr>
      <w:r>
        <w:rPr>
          <w:rFonts w:hint="eastAsia" w:ascii="仿宋" w:eastAsia="仿宋"/>
          <w:color w:val="000000"/>
          <w:szCs w:val="32"/>
        </w:rPr>
        <w:t>（三）国有资产占有使用情况</w:t>
      </w:r>
      <w:r>
        <w:tab/>
      </w:r>
      <w:r>
        <w:fldChar w:fldCharType="begin"/>
      </w:r>
      <w:r>
        <w:instrText xml:space="preserve"> PAGEREF _Toc7410 \h </w:instrText>
      </w:r>
      <w:r>
        <w:fldChar w:fldCharType="separate"/>
      </w:r>
      <w:r>
        <w:t>11</w:t>
      </w:r>
      <w:r>
        <w:fldChar w:fldCharType="end"/>
      </w:r>
    </w:p>
    <w:p>
      <w:pPr>
        <w:pStyle w:val="8"/>
        <w:tabs>
          <w:tab w:val="right" w:leader="dot" w:pos="8306"/>
        </w:tabs>
      </w:pPr>
      <w:r>
        <w:rPr>
          <w:rFonts w:hint="eastAsia" w:ascii="仿宋" w:eastAsia="仿宋"/>
          <w:color w:val="000000"/>
          <w:szCs w:val="32"/>
        </w:rPr>
        <w:t>（四）预算绩效管理情况。</w:t>
      </w:r>
      <w:r>
        <w:tab/>
      </w:r>
      <w:r>
        <w:fldChar w:fldCharType="begin"/>
      </w:r>
      <w:r>
        <w:instrText xml:space="preserve"> PAGEREF _Toc30425 \h </w:instrText>
      </w:r>
      <w:r>
        <w:fldChar w:fldCharType="separate"/>
      </w:r>
      <w:r>
        <w:t>11</w:t>
      </w:r>
      <w:r>
        <w:fldChar w:fldCharType="end"/>
      </w:r>
    </w:p>
    <w:p>
      <w:pPr>
        <w:pStyle w:val="13"/>
        <w:tabs>
          <w:tab w:val="right" w:leader="dot" w:pos="8306"/>
        </w:tabs>
      </w:pPr>
      <w:r>
        <w:rPr>
          <w:rFonts w:hint="eastAsia" w:ascii="黑体" w:eastAsia="黑体"/>
        </w:rPr>
        <w:t xml:space="preserve">第三部分 </w:t>
      </w:r>
      <w:r>
        <w:rPr>
          <w:rFonts w:hint="eastAsia" w:ascii="黑体" w:eastAsia="黑体"/>
          <w:color w:val="000000"/>
          <w:szCs w:val="44"/>
        </w:rPr>
        <w:t>名</w:t>
      </w:r>
      <w:r>
        <w:rPr>
          <w:rFonts w:hint="eastAsia" w:ascii="黑体" w:eastAsia="黑体"/>
        </w:rPr>
        <w:t>词解释</w:t>
      </w:r>
      <w:r>
        <w:tab/>
      </w:r>
      <w:r>
        <w:fldChar w:fldCharType="begin"/>
      </w:r>
      <w:r>
        <w:instrText xml:space="preserve"> PAGEREF _Toc8337 \h </w:instrText>
      </w:r>
      <w:r>
        <w:fldChar w:fldCharType="separate"/>
      </w:r>
      <w:r>
        <w:t>12</w:t>
      </w:r>
      <w:r>
        <w:fldChar w:fldCharType="end"/>
      </w:r>
    </w:p>
    <w:p>
      <w:pPr>
        <w:pStyle w:val="13"/>
        <w:tabs>
          <w:tab w:val="right" w:leader="dot" w:pos="8306"/>
        </w:tabs>
      </w:pPr>
      <w:r>
        <w:rPr>
          <w:rFonts w:hint="eastAsia" w:ascii="黑体" w:eastAsia="黑体"/>
          <w:color w:val="000000"/>
          <w:szCs w:val="44"/>
        </w:rPr>
        <w:t>第四</w:t>
      </w:r>
      <w:r>
        <w:rPr>
          <w:rFonts w:hint="eastAsia" w:ascii="黑体" w:eastAsia="黑体"/>
        </w:rPr>
        <w:t>部分</w:t>
      </w:r>
      <w:r>
        <w:rPr>
          <w:rFonts w:ascii="黑体" w:eastAsia="黑体"/>
        </w:rPr>
        <w:t xml:space="preserve"> </w:t>
      </w:r>
      <w:r>
        <w:rPr>
          <w:rFonts w:hint="eastAsia" w:ascii="黑体" w:eastAsia="黑体"/>
        </w:rPr>
        <w:t>附表</w:t>
      </w:r>
      <w:r>
        <w:tab/>
      </w:r>
      <w:r>
        <w:fldChar w:fldCharType="begin"/>
      </w:r>
      <w:r>
        <w:instrText xml:space="preserve"> PAGEREF _Toc10954 \h </w:instrText>
      </w:r>
      <w:r>
        <w:fldChar w:fldCharType="separate"/>
      </w:r>
      <w:r>
        <w:t>15</w:t>
      </w:r>
      <w:r>
        <w:fldChar w:fldCharType="end"/>
      </w:r>
    </w:p>
    <w:p>
      <w:pPr>
        <w:pStyle w:val="16"/>
        <w:tabs>
          <w:tab w:val="right" w:leader="dot" w:pos="8306"/>
        </w:tabs>
      </w:pPr>
      <w:r>
        <w:rPr>
          <w:rFonts w:hint="eastAsia" w:ascii="仿宋" w:eastAsia="仿宋"/>
          <w:color w:val="000000"/>
        </w:rPr>
        <w:t>一、收</w:t>
      </w:r>
      <w:r>
        <w:rPr>
          <w:rFonts w:hint="eastAsia" w:ascii="仿宋" w:eastAsia="仿宋"/>
        </w:rPr>
        <w:t>入支出决算总表</w:t>
      </w:r>
      <w:r>
        <w:tab/>
      </w:r>
      <w:r>
        <w:fldChar w:fldCharType="begin"/>
      </w:r>
      <w:r>
        <w:instrText xml:space="preserve"> PAGEREF _Toc11501 \h </w:instrText>
      </w:r>
      <w:r>
        <w:fldChar w:fldCharType="separate"/>
      </w:r>
      <w:r>
        <w:t>15</w:t>
      </w:r>
      <w:r>
        <w:fldChar w:fldCharType="end"/>
      </w:r>
    </w:p>
    <w:p>
      <w:pPr>
        <w:pStyle w:val="16"/>
        <w:tabs>
          <w:tab w:val="right" w:leader="dot" w:pos="8306"/>
        </w:tabs>
      </w:pPr>
      <w:r>
        <w:rPr>
          <w:rFonts w:hint="eastAsia" w:ascii="仿宋" w:eastAsia="仿宋"/>
          <w:color w:val="000000"/>
        </w:rPr>
        <w:t>二、收</w:t>
      </w:r>
      <w:r>
        <w:rPr>
          <w:rFonts w:hint="eastAsia" w:ascii="仿宋" w:eastAsia="仿宋"/>
        </w:rPr>
        <w:t>入决算表</w:t>
      </w:r>
      <w:r>
        <w:tab/>
      </w:r>
      <w:r>
        <w:fldChar w:fldCharType="begin"/>
      </w:r>
      <w:r>
        <w:instrText xml:space="preserve"> PAGEREF _Toc24398 \h </w:instrText>
      </w:r>
      <w:r>
        <w:fldChar w:fldCharType="separate"/>
      </w:r>
      <w:r>
        <w:t>15</w:t>
      </w:r>
      <w:r>
        <w:fldChar w:fldCharType="end"/>
      </w:r>
    </w:p>
    <w:p>
      <w:pPr>
        <w:pStyle w:val="16"/>
        <w:tabs>
          <w:tab w:val="right" w:leader="dot" w:pos="8306"/>
        </w:tabs>
      </w:pPr>
      <w:r>
        <w:rPr>
          <w:rFonts w:hint="eastAsia" w:ascii="仿宋" w:eastAsia="仿宋"/>
        </w:rPr>
        <w:t>三、</w:t>
      </w:r>
      <w:r>
        <w:rPr>
          <w:rFonts w:hint="eastAsia" w:ascii="仿宋" w:eastAsia="仿宋"/>
          <w:color w:val="000000"/>
        </w:rPr>
        <w:t>支</w:t>
      </w:r>
      <w:r>
        <w:rPr>
          <w:rFonts w:hint="eastAsia" w:ascii="仿宋" w:eastAsia="仿宋"/>
        </w:rPr>
        <w:t>出决算表</w:t>
      </w:r>
      <w:r>
        <w:tab/>
      </w:r>
      <w:r>
        <w:fldChar w:fldCharType="begin"/>
      </w:r>
      <w:r>
        <w:instrText xml:space="preserve"> PAGEREF _Toc3136 \h </w:instrText>
      </w:r>
      <w:r>
        <w:fldChar w:fldCharType="separate"/>
      </w:r>
      <w:r>
        <w:t>15</w:t>
      </w:r>
      <w:r>
        <w:fldChar w:fldCharType="end"/>
      </w:r>
    </w:p>
    <w:p>
      <w:pPr>
        <w:pStyle w:val="16"/>
        <w:tabs>
          <w:tab w:val="right" w:leader="dot" w:pos="8306"/>
        </w:tabs>
      </w:pPr>
      <w:r>
        <w:rPr>
          <w:rFonts w:hint="eastAsia" w:ascii="仿宋" w:eastAsia="仿宋"/>
        </w:rPr>
        <w:t>四、</w:t>
      </w:r>
      <w:r>
        <w:rPr>
          <w:rFonts w:hint="eastAsia" w:ascii="仿宋" w:eastAsia="仿宋"/>
          <w:color w:val="000000"/>
        </w:rPr>
        <w:t>财</w:t>
      </w:r>
      <w:r>
        <w:rPr>
          <w:rFonts w:hint="eastAsia" w:ascii="仿宋" w:eastAsia="仿宋"/>
        </w:rPr>
        <w:t>政拨款收入支出决算总表</w:t>
      </w:r>
      <w:r>
        <w:tab/>
      </w:r>
      <w:r>
        <w:fldChar w:fldCharType="begin"/>
      </w:r>
      <w:r>
        <w:instrText xml:space="preserve"> PAGEREF _Toc11739 \h </w:instrText>
      </w:r>
      <w:r>
        <w:fldChar w:fldCharType="separate"/>
      </w:r>
      <w:r>
        <w:t>15</w:t>
      </w:r>
      <w:r>
        <w:fldChar w:fldCharType="end"/>
      </w:r>
    </w:p>
    <w:p>
      <w:pPr>
        <w:pStyle w:val="16"/>
        <w:tabs>
          <w:tab w:val="right" w:leader="dot" w:pos="8306"/>
        </w:tabs>
      </w:pPr>
      <w:r>
        <w:rPr>
          <w:rFonts w:hint="eastAsia" w:ascii="仿宋" w:eastAsia="仿宋"/>
        </w:rPr>
        <w:t>五、</w:t>
      </w:r>
      <w:r>
        <w:rPr>
          <w:rFonts w:hint="eastAsia" w:ascii="仿宋" w:eastAsia="仿宋"/>
          <w:color w:val="000000"/>
        </w:rPr>
        <w:t>财</w:t>
      </w:r>
      <w:r>
        <w:rPr>
          <w:rFonts w:hint="eastAsia" w:ascii="仿宋" w:eastAsia="仿宋"/>
        </w:rPr>
        <w:t>政拨款支出决算明细表</w:t>
      </w:r>
      <w:r>
        <w:tab/>
      </w:r>
      <w:r>
        <w:fldChar w:fldCharType="begin"/>
      </w:r>
      <w:r>
        <w:instrText xml:space="preserve"> PAGEREF _Toc12714 \h </w:instrText>
      </w:r>
      <w:r>
        <w:fldChar w:fldCharType="separate"/>
      </w:r>
      <w:r>
        <w:t>15</w:t>
      </w:r>
      <w:r>
        <w:fldChar w:fldCharType="end"/>
      </w:r>
    </w:p>
    <w:p>
      <w:pPr>
        <w:pStyle w:val="16"/>
        <w:tabs>
          <w:tab w:val="right" w:leader="dot" w:pos="8306"/>
        </w:tabs>
      </w:pPr>
      <w:r>
        <w:rPr>
          <w:rFonts w:hint="eastAsia" w:ascii="仿宋" w:eastAsia="仿宋"/>
        </w:rPr>
        <w:t>六、</w:t>
      </w:r>
      <w:r>
        <w:rPr>
          <w:rFonts w:hint="eastAsia" w:ascii="仿宋" w:eastAsia="仿宋"/>
          <w:color w:val="000000"/>
        </w:rPr>
        <w:t>一</w:t>
      </w:r>
      <w:r>
        <w:rPr>
          <w:rFonts w:hint="eastAsia" w:ascii="仿宋" w:eastAsia="仿宋"/>
        </w:rPr>
        <w:t>般公共预算财政拨款支出决算表</w:t>
      </w:r>
      <w:r>
        <w:tab/>
      </w:r>
      <w:r>
        <w:fldChar w:fldCharType="begin"/>
      </w:r>
      <w:r>
        <w:instrText xml:space="preserve"> PAGEREF _Toc1674 \h </w:instrText>
      </w:r>
      <w:r>
        <w:fldChar w:fldCharType="separate"/>
      </w:r>
      <w:r>
        <w:t>15</w:t>
      </w:r>
      <w:r>
        <w:fldChar w:fldCharType="end"/>
      </w:r>
    </w:p>
    <w:p>
      <w:pPr>
        <w:pStyle w:val="16"/>
        <w:tabs>
          <w:tab w:val="right" w:leader="dot" w:pos="8306"/>
        </w:tabs>
      </w:pPr>
      <w:r>
        <w:rPr>
          <w:rFonts w:hint="eastAsia" w:ascii="仿宋" w:eastAsia="仿宋"/>
        </w:rPr>
        <w:t>七、</w:t>
      </w:r>
      <w:r>
        <w:rPr>
          <w:rFonts w:hint="eastAsia" w:ascii="仿宋" w:eastAsia="仿宋"/>
          <w:color w:val="000000"/>
        </w:rPr>
        <w:t>一</w:t>
      </w:r>
      <w:r>
        <w:rPr>
          <w:rFonts w:hint="eastAsia" w:ascii="仿宋" w:eastAsia="仿宋"/>
        </w:rPr>
        <w:t>般公共预算财政拨款支出决算明细表</w:t>
      </w:r>
      <w:r>
        <w:tab/>
      </w:r>
      <w:r>
        <w:fldChar w:fldCharType="begin"/>
      </w:r>
      <w:r>
        <w:instrText xml:space="preserve"> PAGEREF _Toc22641 \h </w:instrText>
      </w:r>
      <w:r>
        <w:fldChar w:fldCharType="separate"/>
      </w:r>
      <w:r>
        <w:t>15</w:t>
      </w:r>
      <w:r>
        <w:fldChar w:fldCharType="end"/>
      </w:r>
    </w:p>
    <w:p>
      <w:pPr>
        <w:pStyle w:val="16"/>
        <w:tabs>
          <w:tab w:val="right" w:leader="dot" w:pos="8306"/>
        </w:tabs>
      </w:pPr>
      <w:r>
        <w:rPr>
          <w:rFonts w:hint="eastAsia" w:ascii="仿宋" w:eastAsia="仿宋"/>
        </w:rPr>
        <w:t>八、</w:t>
      </w:r>
      <w:r>
        <w:rPr>
          <w:rFonts w:hint="eastAsia" w:ascii="仿宋" w:eastAsia="仿宋"/>
          <w:color w:val="000000"/>
        </w:rPr>
        <w:t>一</w:t>
      </w:r>
      <w:r>
        <w:rPr>
          <w:rFonts w:hint="eastAsia" w:ascii="仿宋" w:eastAsia="仿宋"/>
        </w:rPr>
        <w:t>般公共预算财政拨款基本支出决算表</w:t>
      </w:r>
      <w:r>
        <w:tab/>
      </w:r>
      <w:r>
        <w:fldChar w:fldCharType="begin"/>
      </w:r>
      <w:r>
        <w:instrText xml:space="preserve"> PAGEREF _Toc23768 \h </w:instrText>
      </w:r>
      <w:r>
        <w:fldChar w:fldCharType="separate"/>
      </w:r>
      <w:r>
        <w:t>15</w:t>
      </w:r>
      <w:r>
        <w:fldChar w:fldCharType="end"/>
      </w:r>
    </w:p>
    <w:p>
      <w:pPr>
        <w:pStyle w:val="16"/>
        <w:tabs>
          <w:tab w:val="right" w:leader="dot" w:pos="8306"/>
        </w:tabs>
      </w:pPr>
      <w:r>
        <w:rPr>
          <w:rFonts w:hint="eastAsia" w:ascii="仿宋" w:eastAsia="仿宋"/>
        </w:rPr>
        <w:t>九、</w:t>
      </w:r>
      <w:r>
        <w:rPr>
          <w:rFonts w:hint="eastAsia" w:ascii="仿宋" w:eastAsia="仿宋"/>
          <w:color w:val="000000"/>
        </w:rPr>
        <w:t>一</w:t>
      </w:r>
      <w:r>
        <w:rPr>
          <w:rFonts w:hint="eastAsia" w:ascii="仿宋" w:eastAsia="仿宋"/>
        </w:rPr>
        <w:t>般公共预算财政拨款项目支出决算表</w:t>
      </w:r>
      <w:r>
        <w:tab/>
      </w:r>
      <w:r>
        <w:fldChar w:fldCharType="begin"/>
      </w:r>
      <w:r>
        <w:instrText xml:space="preserve"> PAGEREF _Toc24131 \h </w:instrText>
      </w:r>
      <w:r>
        <w:fldChar w:fldCharType="separate"/>
      </w:r>
      <w:r>
        <w:t>15</w:t>
      </w:r>
      <w:r>
        <w:fldChar w:fldCharType="end"/>
      </w:r>
    </w:p>
    <w:p>
      <w:pPr>
        <w:pStyle w:val="16"/>
        <w:tabs>
          <w:tab w:val="right" w:leader="dot" w:pos="8306"/>
        </w:tabs>
      </w:pPr>
      <w:r>
        <w:rPr>
          <w:rFonts w:hint="eastAsia" w:ascii="仿宋" w:eastAsia="仿宋"/>
        </w:rPr>
        <w:t>十、</w:t>
      </w:r>
      <w:r>
        <w:rPr>
          <w:rFonts w:hint="eastAsia" w:ascii="仿宋" w:eastAsia="仿宋"/>
          <w:color w:val="000000"/>
        </w:rPr>
        <w:t>一</w:t>
      </w:r>
      <w:r>
        <w:rPr>
          <w:rFonts w:hint="eastAsia" w:ascii="仿宋" w:eastAsia="仿宋"/>
        </w:rPr>
        <w:t>般公共预算财政拨款“三公”经费支出决算表</w:t>
      </w:r>
      <w:r>
        <w:tab/>
      </w:r>
      <w:r>
        <w:fldChar w:fldCharType="begin"/>
      </w:r>
      <w:r>
        <w:instrText xml:space="preserve"> PAGEREF _Toc30544 \h </w:instrText>
      </w:r>
      <w:r>
        <w:fldChar w:fldCharType="separate"/>
      </w:r>
      <w:r>
        <w:t>15</w:t>
      </w:r>
      <w:r>
        <w:fldChar w:fldCharType="end"/>
      </w:r>
    </w:p>
    <w:p>
      <w:pPr>
        <w:pStyle w:val="16"/>
        <w:tabs>
          <w:tab w:val="right" w:leader="dot" w:pos="8306"/>
        </w:tabs>
      </w:pPr>
      <w:r>
        <w:rPr>
          <w:rFonts w:hint="eastAsia" w:ascii="仿宋" w:eastAsia="仿宋"/>
        </w:rPr>
        <w:t>十一、</w:t>
      </w:r>
      <w:r>
        <w:rPr>
          <w:rFonts w:hint="eastAsia" w:ascii="仿宋" w:eastAsia="仿宋"/>
          <w:color w:val="000000"/>
        </w:rPr>
        <w:t>政</w:t>
      </w:r>
      <w:r>
        <w:rPr>
          <w:rFonts w:hint="eastAsia" w:ascii="仿宋" w:eastAsia="仿宋"/>
        </w:rPr>
        <w:t>府性基金预算财政拨款收入支出决算表</w:t>
      </w:r>
      <w:r>
        <w:tab/>
      </w:r>
      <w:r>
        <w:fldChar w:fldCharType="begin"/>
      </w:r>
      <w:r>
        <w:instrText xml:space="preserve"> PAGEREF _Toc14508 \h </w:instrText>
      </w:r>
      <w:r>
        <w:fldChar w:fldCharType="separate"/>
      </w:r>
      <w:r>
        <w:t>15</w:t>
      </w:r>
      <w:r>
        <w:fldChar w:fldCharType="end"/>
      </w:r>
    </w:p>
    <w:p>
      <w:pPr>
        <w:pStyle w:val="16"/>
        <w:tabs>
          <w:tab w:val="right" w:leader="dot" w:pos="8306"/>
        </w:tabs>
      </w:pPr>
      <w:r>
        <w:rPr>
          <w:rFonts w:hint="eastAsia" w:ascii="仿宋" w:eastAsia="仿宋"/>
        </w:rPr>
        <w:t>十二、</w:t>
      </w:r>
      <w:r>
        <w:rPr>
          <w:rFonts w:hint="eastAsia" w:ascii="仿宋" w:eastAsia="仿宋"/>
          <w:color w:val="000000"/>
        </w:rPr>
        <w:t>政</w:t>
      </w:r>
      <w:r>
        <w:rPr>
          <w:rFonts w:hint="eastAsia" w:ascii="仿宋" w:eastAsia="仿宋"/>
        </w:rPr>
        <w:t>府性基金预算财政拨款“三公”经费支出决算表</w:t>
      </w:r>
      <w:r>
        <w:tab/>
      </w:r>
      <w:r>
        <w:fldChar w:fldCharType="begin"/>
      </w:r>
      <w:r>
        <w:instrText xml:space="preserve"> PAGEREF _Toc25018 \h </w:instrText>
      </w:r>
      <w:r>
        <w:fldChar w:fldCharType="separate"/>
      </w:r>
      <w:r>
        <w:t>15</w:t>
      </w:r>
      <w:r>
        <w:fldChar w:fldCharType="end"/>
      </w:r>
    </w:p>
    <w:p>
      <w:pPr>
        <w:pStyle w:val="16"/>
        <w:tabs>
          <w:tab w:val="right" w:leader="dot" w:pos="8306"/>
        </w:tabs>
      </w:pPr>
      <w:r>
        <w:rPr>
          <w:rFonts w:hint="eastAsia" w:ascii="仿宋" w:eastAsia="仿宋"/>
        </w:rPr>
        <w:t>十三、</w:t>
      </w:r>
      <w:r>
        <w:rPr>
          <w:rFonts w:hint="eastAsia" w:ascii="仿宋" w:eastAsia="仿宋"/>
          <w:color w:val="000000"/>
        </w:rPr>
        <w:t>国</w:t>
      </w:r>
      <w:r>
        <w:rPr>
          <w:rFonts w:hint="eastAsia" w:ascii="仿宋" w:eastAsia="仿宋"/>
        </w:rPr>
        <w:t>有资本经营预算财政拨款支出决算表</w:t>
      </w:r>
      <w:r>
        <w:tab/>
      </w:r>
      <w:r>
        <w:fldChar w:fldCharType="begin"/>
      </w:r>
      <w:r>
        <w:instrText xml:space="preserve"> PAGEREF _Toc10014 \h </w:instrText>
      </w:r>
      <w:r>
        <w:fldChar w:fldCharType="separate"/>
      </w:r>
      <w:r>
        <w:t>15</w:t>
      </w:r>
      <w:r>
        <w:fldChar w:fldCharType="end"/>
      </w:r>
    </w:p>
    <w:p>
      <w:pPr>
        <w:pStyle w:val="16"/>
        <w:tabs>
          <w:tab w:val="right" w:leader="dot" w:pos="8306"/>
        </w:tabs>
      </w:pPr>
      <w:r>
        <w:rPr>
          <w:rFonts w:hint="eastAsia" w:ascii="仿宋" w:eastAsia="仿宋"/>
        </w:rPr>
        <w:t>十四、国有资本经营预算财政拨款支出决算表</w:t>
      </w:r>
      <w:r>
        <w:tab/>
      </w:r>
      <w:r>
        <w:fldChar w:fldCharType="begin"/>
      </w:r>
      <w:r>
        <w:instrText xml:space="preserve"> PAGEREF _Toc15740 \h </w:instrText>
      </w:r>
      <w:r>
        <w:fldChar w:fldCharType="separate"/>
      </w:r>
      <w:r>
        <w:t>15</w:t>
      </w:r>
      <w:r>
        <w:fldChar w:fldCharType="end"/>
      </w:r>
    </w:p>
    <w:p>
      <w:pPr>
        <w:ind w:firstLine="2310" w:firstLineChars="1100"/>
        <w:rPr>
          <w:rFonts w:ascii="等线" w:eastAsia="等线"/>
          <w:bCs/>
          <w:caps/>
          <w:smallCaps w:val="0"/>
          <w:szCs w:val="20"/>
        </w:rPr>
      </w:pPr>
      <w:r>
        <w:rPr>
          <w:rFonts w:ascii="等线" w:eastAsia="等线"/>
          <w:bCs/>
          <w:caps/>
          <w:smallCaps w:val="0"/>
          <w:szCs w:val="20"/>
        </w:rPr>
        <w:fldChar w:fldCharType="end"/>
      </w:r>
      <w:bookmarkStart w:id="12" w:name="_Toc15377196"/>
      <w:bookmarkStart w:id="13" w:name="_Toc15396599"/>
      <w:bookmarkStart w:id="14" w:name="_Toc27552"/>
      <w:bookmarkStart w:id="15" w:name="_Toc79163601"/>
      <w:r>
        <w:rPr>
          <w:rStyle w:val="22"/>
          <w:rFonts w:hint="eastAsia" w:ascii="黑体" w:hAnsi="黑体"/>
        </w:rPr>
        <w:t>第一部分</w:t>
      </w:r>
      <w:r>
        <w:rPr>
          <w:rFonts w:ascii="黑体" w:eastAsia="黑体"/>
        </w:rPr>
        <w:t xml:space="preserve"> </w:t>
      </w:r>
      <w:r>
        <w:rPr>
          <w:rStyle w:val="22"/>
          <w:rFonts w:hint="eastAsia" w:ascii="黑体" w:eastAsia="黑体"/>
          <w:b w:val="0"/>
          <w:bCs w:val="0"/>
        </w:rPr>
        <w:t>部门概况</w:t>
      </w:r>
      <w:bookmarkEnd w:id="12"/>
      <w:bookmarkEnd w:id="13"/>
      <w:bookmarkEnd w:id="14"/>
      <w:bookmarkEnd w:id="15"/>
    </w:p>
    <w:p>
      <w:pPr>
        <w:pStyle w:val="3"/>
        <w:rPr>
          <w:rStyle w:val="23"/>
          <w:rFonts w:ascii="仿宋" w:eastAsia="仿宋"/>
          <w:b w:val="0"/>
          <w:bCs w:val="0"/>
        </w:rPr>
      </w:pPr>
      <w:bookmarkStart w:id="16" w:name="_Toc15377197"/>
      <w:bookmarkStart w:id="17" w:name="_Toc15396600"/>
      <w:bookmarkStart w:id="18" w:name="_Toc19008"/>
      <w:bookmarkStart w:id="19" w:name="_Toc79163602"/>
      <w:r>
        <w:rPr>
          <w:rFonts w:hint="eastAsia" w:ascii="黑体" w:eastAsia="黑体"/>
          <w:b w:val="0"/>
          <w:color w:val="000000"/>
        </w:rPr>
        <w:t>一、基</w:t>
      </w:r>
      <w:r>
        <w:rPr>
          <w:rStyle w:val="23"/>
          <w:rFonts w:hint="eastAsia" w:ascii="黑体" w:eastAsia="黑体"/>
          <w:b w:val="0"/>
          <w:bCs w:val="0"/>
        </w:rPr>
        <w:t>本职能及主要工作</w:t>
      </w:r>
      <w:bookmarkEnd w:id="16"/>
      <w:bookmarkEnd w:id="17"/>
      <w:bookmarkEnd w:id="18"/>
      <w:bookmarkEnd w:id="19"/>
    </w:p>
    <w:p>
      <w:pPr>
        <w:pStyle w:val="6"/>
        <w:adjustRightInd w:val="0"/>
        <w:snapToGrid w:val="0"/>
        <w:spacing w:before="93" w:beforeLines="0" w:line="600" w:lineRule="exact"/>
        <w:ind w:firstLine="668" w:firstLineChars="209"/>
        <w:outlineLvl w:val="2"/>
        <w:rPr>
          <w:bCs/>
          <w:color w:val="000000"/>
          <w:sz w:val="32"/>
          <w:szCs w:val="32"/>
        </w:rPr>
      </w:pPr>
      <w:bookmarkStart w:id="20" w:name="_Toc18998"/>
      <w:bookmarkStart w:id="21" w:name="_Toc79163603"/>
      <w:bookmarkStart w:id="22" w:name="_Toc15378445"/>
      <w:bookmarkStart w:id="23" w:name="_Toc15377198"/>
      <w:r>
        <w:rPr>
          <w:rFonts w:hint="eastAsia"/>
          <w:bCs/>
          <w:color w:val="000000"/>
          <w:sz w:val="32"/>
          <w:szCs w:val="32"/>
        </w:rPr>
        <w:t>（一）主要职能。</w:t>
      </w:r>
      <w:bookmarkEnd w:id="20"/>
      <w:bookmarkEnd w:id="21"/>
    </w:p>
    <w:bookmarkEnd w:id="22"/>
    <w:bookmarkEnd w:id="23"/>
    <w:p>
      <w:pPr>
        <w:ind w:firstLine="800" w:firstLineChars="250"/>
        <w:rPr>
          <w:rFonts w:ascii="仿宋_GB2312" w:eastAsia="仿宋_GB2312"/>
          <w:sz w:val="32"/>
          <w:szCs w:val="32"/>
        </w:rPr>
      </w:pPr>
      <w:bookmarkStart w:id="24" w:name="_Toc79163604"/>
      <w:bookmarkStart w:id="25" w:name="_Toc15378446"/>
      <w:bookmarkStart w:id="26" w:name="_Toc15377199"/>
      <w:r>
        <w:rPr>
          <w:rFonts w:hint="eastAsia" w:ascii="仿宋_GB2312" w:eastAsia="仿宋_GB2312"/>
          <w:sz w:val="32"/>
          <w:szCs w:val="32"/>
        </w:rPr>
        <w:t>承担州直机关集中办公区安全、保卫、绿化、卫生、维护、停车管理等后勤服务保障工作。</w:t>
      </w:r>
    </w:p>
    <w:p>
      <w:pPr>
        <w:pStyle w:val="6"/>
        <w:adjustRightInd w:val="0"/>
        <w:snapToGrid w:val="0"/>
        <w:spacing w:before="93" w:beforeLines="0" w:line="600" w:lineRule="exact"/>
        <w:ind w:firstLine="668" w:firstLineChars="209"/>
        <w:outlineLvl w:val="2"/>
        <w:rPr>
          <w:bCs/>
          <w:color w:val="000000"/>
          <w:sz w:val="32"/>
          <w:szCs w:val="32"/>
        </w:rPr>
      </w:pPr>
      <w:bookmarkStart w:id="27" w:name="_Toc23495"/>
      <w:r>
        <w:rPr>
          <w:rFonts w:hint="eastAsia"/>
          <w:bCs/>
          <w:color w:val="000000"/>
          <w:sz w:val="32"/>
          <w:szCs w:val="32"/>
        </w:rPr>
        <w:t>（二）2020年重点工作完成情况。</w:t>
      </w:r>
      <w:bookmarkEnd w:id="24"/>
      <w:bookmarkEnd w:id="25"/>
      <w:bookmarkEnd w:id="26"/>
      <w:bookmarkEnd w:id="27"/>
    </w:p>
    <w:p>
      <w:pPr>
        <w:spacing w:line="560" w:lineRule="exact"/>
        <w:ind w:firstLine="640" w:firstLineChars="200"/>
        <w:rPr>
          <w:rFonts w:ascii="仿宋_GB2312" w:eastAsia="仿宋_GB2312"/>
          <w:sz w:val="32"/>
          <w:szCs w:val="32"/>
        </w:rPr>
      </w:pPr>
      <w:r>
        <w:rPr>
          <w:rFonts w:hint="eastAsia" w:ascii="仿宋_GB2312" w:eastAsia="仿宋_GB2312"/>
          <w:sz w:val="32"/>
          <w:szCs w:val="32"/>
        </w:rPr>
        <w:t>机关后勤管理工作中注重体现先进性。坚决服从组织安排，尽心尽力、高标准做好各项工作。协助局机关完成机关事务管理日常各项工作及全州机关事务工作会议的会务工作、调查分析了州直部门伙食团建设、伙食团成本等情况。</w:t>
      </w:r>
    </w:p>
    <w:p>
      <w:pPr>
        <w:pStyle w:val="3"/>
        <w:rPr>
          <w:rStyle w:val="23"/>
          <w:b w:val="0"/>
          <w:bCs w:val="0"/>
        </w:rPr>
      </w:pPr>
      <w:bookmarkStart w:id="28" w:name="_Toc15396601"/>
      <w:bookmarkStart w:id="29" w:name="_Toc1003"/>
      <w:bookmarkStart w:id="30" w:name="_Toc15377200"/>
      <w:bookmarkStart w:id="31" w:name="_Toc79163605"/>
      <w:r>
        <w:rPr>
          <w:rFonts w:hint="eastAsia" w:ascii="黑体" w:eastAsia="黑体"/>
          <w:b w:val="0"/>
          <w:color w:val="000000"/>
        </w:rPr>
        <w:t>二、机</w:t>
      </w:r>
      <w:r>
        <w:rPr>
          <w:rStyle w:val="23"/>
          <w:rFonts w:hint="eastAsia" w:ascii="黑体" w:eastAsia="黑体"/>
          <w:b w:val="0"/>
          <w:bCs w:val="0"/>
        </w:rPr>
        <w:t>构设置</w:t>
      </w:r>
      <w:bookmarkEnd w:id="28"/>
      <w:bookmarkEnd w:id="29"/>
      <w:bookmarkEnd w:id="30"/>
      <w:bookmarkEnd w:id="31"/>
    </w:p>
    <w:p>
      <w:pPr>
        <w:pStyle w:val="6"/>
        <w:adjustRightInd w:val="0"/>
        <w:snapToGrid w:val="0"/>
        <w:spacing w:before="93" w:beforeLines="0" w:line="600" w:lineRule="exact"/>
        <w:ind w:firstLine="668" w:firstLineChars="209"/>
        <w:outlineLvl w:val="2"/>
        <w:rPr>
          <w:bCs/>
          <w:color w:val="000000"/>
          <w:sz w:val="32"/>
          <w:szCs w:val="32"/>
        </w:rPr>
      </w:pPr>
      <w:r>
        <w:rPr>
          <w:bCs/>
          <w:color w:val="000000"/>
          <w:sz w:val="32"/>
          <w:szCs w:val="32"/>
        </w:rPr>
        <w:t>州机关后勤服务中心</w:t>
      </w:r>
      <w:r>
        <w:rPr>
          <w:rFonts w:hint="eastAsia"/>
          <w:bCs/>
          <w:color w:val="000000"/>
          <w:sz w:val="32"/>
          <w:szCs w:val="32"/>
        </w:rPr>
        <w:t>下属二级单位0个，其中行政单位0个，参照公务员法管理的事业单位</w:t>
      </w:r>
      <w:r>
        <w:rPr>
          <w:bCs/>
          <w:color w:val="000000"/>
          <w:sz w:val="32"/>
          <w:szCs w:val="32"/>
        </w:rPr>
        <w:t>0</w:t>
      </w:r>
      <w:r>
        <w:rPr>
          <w:rFonts w:hint="eastAsia"/>
          <w:bCs/>
          <w:color w:val="000000"/>
          <w:sz w:val="32"/>
          <w:szCs w:val="32"/>
        </w:rPr>
        <w:t>个，其他事业单位0个。</w:t>
      </w:r>
    </w:p>
    <w:p>
      <w:pPr>
        <w:pStyle w:val="2"/>
        <w:ind w:right="440"/>
        <w:jc w:val="right"/>
        <w:rPr>
          <w:rFonts w:ascii="黑体" w:eastAsia="黑体"/>
          <w:b w:val="0"/>
          <w:bCs w:val="0"/>
        </w:rPr>
      </w:pPr>
      <w:bookmarkStart w:id="32" w:name="_Toc15396602"/>
      <w:bookmarkStart w:id="33" w:name="_Toc15377204"/>
      <w:bookmarkStart w:id="34" w:name="_Toc79163609"/>
      <w:bookmarkStart w:id="35" w:name="_Toc357"/>
      <w:r>
        <w:rPr>
          <w:rFonts w:hint="eastAsia" w:ascii="黑体" w:eastAsia="黑体"/>
          <w:b w:val="0"/>
          <w:color w:val="000000"/>
        </w:rPr>
        <w:t>第二部分</w:t>
      </w:r>
      <w:r>
        <w:rPr>
          <w:rFonts w:ascii="黑体" w:eastAsia="黑体"/>
          <w:color w:val="000000"/>
        </w:rPr>
        <w:t xml:space="preserve"> </w:t>
      </w:r>
      <w:r>
        <w:rPr>
          <w:rStyle w:val="22"/>
          <w:rFonts w:ascii="黑体" w:eastAsia="黑体"/>
          <w:b w:val="0"/>
          <w:bCs w:val="0"/>
        </w:rPr>
        <w:t>2020</w:t>
      </w:r>
      <w:r>
        <w:rPr>
          <w:rStyle w:val="22"/>
          <w:rFonts w:hint="eastAsia" w:ascii="黑体" w:eastAsia="黑体"/>
          <w:b w:val="0"/>
          <w:bCs w:val="0"/>
        </w:rPr>
        <w:t>年度部门决算情况说</w:t>
      </w:r>
      <w:bookmarkEnd w:id="32"/>
      <w:bookmarkEnd w:id="33"/>
      <w:bookmarkEnd w:id="34"/>
      <w:bookmarkEnd w:id="35"/>
      <w:r>
        <w:rPr>
          <w:rStyle w:val="22"/>
          <w:rFonts w:hint="eastAsia" w:ascii="黑体" w:eastAsia="黑体"/>
          <w:b w:val="0"/>
          <w:bCs w:val="0"/>
        </w:rPr>
        <w:t>明</w:t>
      </w:r>
    </w:p>
    <w:p>
      <w:pPr>
        <w:pStyle w:val="6"/>
        <w:adjustRightInd w:val="0"/>
        <w:snapToGrid w:val="0"/>
        <w:spacing w:before="93" w:beforeLines="0" w:line="600" w:lineRule="exact"/>
        <w:ind w:firstLine="668" w:firstLineChars="209"/>
        <w:outlineLvl w:val="2"/>
        <w:rPr>
          <w:color w:val="000000"/>
          <w:sz w:val="32"/>
          <w:szCs w:val="32"/>
        </w:rPr>
      </w:pPr>
      <w:bookmarkStart w:id="36" w:name="_Toc79163610"/>
      <w:bookmarkStart w:id="37" w:name="_Toc15377205"/>
      <w:bookmarkStart w:id="38" w:name="_Toc16884"/>
      <w:bookmarkStart w:id="39" w:name="_Toc15396603"/>
      <w:r>
        <w:rPr>
          <w:rFonts w:hint="eastAsia"/>
          <w:bCs/>
          <w:color w:val="000000"/>
          <w:sz w:val="32"/>
          <w:szCs w:val="32"/>
        </w:rPr>
        <w:t>一、收</w:t>
      </w:r>
      <w:r>
        <w:rPr>
          <w:rFonts w:hint="eastAsia"/>
          <w:color w:val="000000"/>
          <w:sz w:val="32"/>
          <w:szCs w:val="32"/>
        </w:rPr>
        <w:t>入支出决算总体情况说明</w:t>
      </w:r>
      <w:bookmarkEnd w:id="36"/>
      <w:bookmarkEnd w:id="37"/>
      <w:bookmarkEnd w:id="38"/>
      <w:bookmarkEnd w:id="39"/>
    </w:p>
    <w:p>
      <w:pPr>
        <w:pStyle w:val="6"/>
        <w:adjustRightInd w:val="0"/>
        <w:snapToGrid w:val="0"/>
        <w:spacing w:before="93" w:beforeLines="0" w:line="600" w:lineRule="exact"/>
        <w:ind w:firstLine="668" w:firstLineChars="209"/>
        <w:outlineLvl w:val="2"/>
        <w:rPr>
          <w:bCs/>
          <w:color w:val="000000"/>
          <w:sz w:val="32"/>
          <w:szCs w:val="32"/>
        </w:rPr>
      </w:pPr>
      <w:r>
        <w:rPr>
          <w:bCs/>
          <w:color w:val="000000"/>
          <w:sz w:val="32"/>
          <w:szCs w:val="32"/>
        </w:rPr>
        <w:t>2020</w:t>
      </w:r>
      <w:r>
        <w:rPr>
          <w:rFonts w:hint="eastAsia"/>
          <w:bCs/>
          <w:color w:val="000000"/>
          <w:sz w:val="32"/>
          <w:szCs w:val="32"/>
        </w:rPr>
        <w:t>年度收入总计62.81万元。与</w:t>
      </w:r>
      <w:r>
        <w:rPr>
          <w:bCs/>
          <w:color w:val="000000"/>
          <w:sz w:val="32"/>
          <w:szCs w:val="32"/>
        </w:rPr>
        <w:t>2019</w:t>
      </w:r>
      <w:r>
        <w:rPr>
          <w:rFonts w:hint="eastAsia"/>
          <w:bCs/>
          <w:color w:val="000000"/>
          <w:sz w:val="32"/>
          <w:szCs w:val="32"/>
        </w:rPr>
        <w:t>年相比，收入总计增加13.6万元，增长27.64</w:t>
      </w:r>
      <w:r>
        <w:rPr>
          <w:bCs/>
          <w:color w:val="000000"/>
          <w:sz w:val="32"/>
          <w:szCs w:val="32"/>
        </w:rPr>
        <w:t>%</w:t>
      </w:r>
      <w:r>
        <w:rPr>
          <w:rFonts w:hint="eastAsia"/>
          <w:bCs/>
          <w:color w:val="000000"/>
          <w:sz w:val="32"/>
          <w:szCs w:val="32"/>
        </w:rPr>
        <w:t>。主要变动原因是人员增加。</w:t>
      </w:r>
    </w:p>
    <w:p>
      <w:pPr>
        <w:pStyle w:val="6"/>
        <w:adjustRightInd w:val="0"/>
        <w:snapToGrid w:val="0"/>
        <w:spacing w:before="93" w:beforeLines="0" w:line="600" w:lineRule="exact"/>
        <w:ind w:firstLine="668" w:firstLineChars="209"/>
        <w:outlineLvl w:val="2"/>
        <w:rPr>
          <w:bCs/>
          <w:color w:val="000000"/>
          <w:sz w:val="32"/>
          <w:szCs w:val="32"/>
        </w:rPr>
      </w:pPr>
      <w:r>
        <w:rPr>
          <w:rFonts w:hint="eastAsia"/>
          <w:bCs/>
          <w:color w:val="000000"/>
          <w:sz w:val="32"/>
          <w:szCs w:val="32"/>
          <w:lang w:val="en-US"/>
        </w:rPr>
        <w:drawing>
          <wp:anchor distT="0" distB="0" distL="114300" distR="114300" simplePos="0" relativeHeight="1024" behindDoc="0" locked="0" layoutInCell="1" allowOverlap="1">
            <wp:simplePos x="0" y="0"/>
            <wp:positionH relativeFrom="column">
              <wp:posOffset>171450</wp:posOffset>
            </wp:positionH>
            <wp:positionV relativeFrom="paragraph">
              <wp:posOffset>1190625</wp:posOffset>
            </wp:positionV>
            <wp:extent cx="4829175" cy="2628900"/>
            <wp:effectExtent l="0" t="0" r="0" b="0"/>
            <wp:wrapSquare wrapText="bothSides"/>
            <wp:docPr id="1" name="图表 1"/>
            <wp:cNvGraphicFramePr/>
            <a:graphic xmlns:a="http://schemas.openxmlformats.org/drawingml/2006/main">
              <a:graphicData uri="http://schemas.openxmlformats.org/drawingml/2006/picture">
                <pic:pic xmlns:pic="http://schemas.openxmlformats.org/drawingml/2006/picture">
                  <pic:nvPicPr>
                    <pic:cNvPr id="1" name="图表 1"/>
                    <pic:cNvPicPr/>
                  </pic:nvPicPr>
                  <pic:blipFill>
                    <a:blip r:embed="rId6"/>
                    <a:stretch>
                      <a:fillRect/>
                    </a:stretch>
                  </pic:blipFill>
                  <pic:spPr>
                    <a:xfrm>
                      <a:off x="0" y="0"/>
                      <a:ext cx="4829175" cy="2628900"/>
                    </a:xfrm>
                    <a:prstGeom prst="rect">
                      <a:avLst/>
                    </a:prstGeom>
                    <a:ln w="9525" cap="flat" cmpd="sng">
                      <a:solidFill>
                        <a:srgbClr val="000000"/>
                      </a:solidFill>
                      <a:prstDash val="solid"/>
                      <a:miter/>
                    </a:ln>
                  </pic:spPr>
                </pic:pic>
              </a:graphicData>
            </a:graphic>
          </wp:anchor>
        </w:drawing>
      </w:r>
      <w:r>
        <w:rPr>
          <w:bCs/>
          <w:color w:val="000000"/>
          <w:sz w:val="32"/>
          <w:szCs w:val="32"/>
        </w:rPr>
        <w:t>2020</w:t>
      </w:r>
      <w:r>
        <w:rPr>
          <w:rFonts w:hint="eastAsia"/>
          <w:bCs/>
          <w:color w:val="000000"/>
          <w:sz w:val="32"/>
          <w:szCs w:val="32"/>
        </w:rPr>
        <w:t>年度支出总计71.08万元。与</w:t>
      </w:r>
      <w:r>
        <w:rPr>
          <w:bCs/>
          <w:color w:val="000000"/>
          <w:sz w:val="32"/>
          <w:szCs w:val="32"/>
        </w:rPr>
        <w:t>2019</w:t>
      </w:r>
      <w:r>
        <w:rPr>
          <w:rFonts w:hint="eastAsia"/>
          <w:bCs/>
          <w:color w:val="000000"/>
          <w:sz w:val="32"/>
          <w:szCs w:val="32"/>
        </w:rPr>
        <w:t>年相比，支出总计增加11.12万元，增长18.55</w:t>
      </w:r>
      <w:r>
        <w:rPr>
          <w:bCs/>
          <w:color w:val="000000"/>
          <w:sz w:val="32"/>
          <w:szCs w:val="32"/>
        </w:rPr>
        <w:t>%</w:t>
      </w:r>
      <w:r>
        <w:rPr>
          <w:rFonts w:hint="eastAsia"/>
          <w:bCs/>
          <w:color w:val="000000"/>
          <w:sz w:val="32"/>
          <w:szCs w:val="32"/>
        </w:rPr>
        <w:t>。主要变动原因是人员增加。（图</w:t>
      </w:r>
      <w:r>
        <w:rPr>
          <w:bCs/>
          <w:color w:val="000000"/>
          <w:sz w:val="32"/>
          <w:szCs w:val="32"/>
        </w:rPr>
        <w:t>1</w:t>
      </w:r>
      <w:r>
        <w:rPr>
          <w:rFonts w:hint="eastAsia"/>
          <w:bCs/>
          <w:color w:val="000000"/>
          <w:sz w:val="32"/>
          <w:szCs w:val="32"/>
        </w:rPr>
        <w:t>：收、支决算总计变动情况图）（柱状图）</w:t>
      </w:r>
    </w:p>
    <w:p>
      <w:pPr>
        <w:pStyle w:val="6"/>
        <w:adjustRightInd w:val="0"/>
        <w:snapToGrid w:val="0"/>
        <w:spacing w:before="93" w:beforeLines="0" w:line="600" w:lineRule="exact"/>
        <w:ind w:firstLine="668" w:firstLineChars="209"/>
        <w:outlineLvl w:val="2"/>
        <w:rPr>
          <w:color w:val="000000"/>
        </w:rPr>
      </w:pPr>
      <w:bookmarkStart w:id="40" w:name="_Toc15396604"/>
      <w:bookmarkStart w:id="41" w:name="_Toc17732"/>
      <w:bookmarkStart w:id="42" w:name="_Toc15377206"/>
      <w:bookmarkStart w:id="43" w:name="_Toc79163611"/>
      <w:r>
        <w:rPr>
          <w:rFonts w:hint="eastAsia"/>
          <w:bCs/>
          <w:color w:val="000000"/>
          <w:sz w:val="32"/>
          <w:szCs w:val="32"/>
        </w:rPr>
        <w:t>二、收</w:t>
      </w:r>
      <w:r>
        <w:rPr>
          <w:rFonts w:hint="eastAsia"/>
          <w:color w:val="000000"/>
          <w:sz w:val="32"/>
          <w:szCs w:val="32"/>
        </w:rPr>
        <w:t>入决算情况说明</w:t>
      </w:r>
      <w:bookmarkEnd w:id="40"/>
      <w:bookmarkEnd w:id="41"/>
      <w:bookmarkEnd w:id="42"/>
      <w:bookmarkEnd w:id="43"/>
    </w:p>
    <w:p>
      <w:pPr>
        <w:pStyle w:val="6"/>
        <w:adjustRightInd w:val="0"/>
        <w:snapToGrid w:val="0"/>
        <w:spacing w:before="93" w:beforeLines="0" w:line="600" w:lineRule="exact"/>
        <w:ind w:firstLine="668" w:firstLineChars="209"/>
        <w:outlineLvl w:val="2"/>
        <w:rPr>
          <w:bCs/>
          <w:color w:val="000000"/>
          <w:sz w:val="32"/>
          <w:szCs w:val="32"/>
        </w:rPr>
      </w:pPr>
      <w:r>
        <w:rPr>
          <w:bCs/>
          <w:color w:val="000000"/>
          <w:sz w:val="32"/>
          <w:szCs w:val="32"/>
        </w:rPr>
        <w:t>2020</w:t>
      </w:r>
      <w:r>
        <w:rPr>
          <w:rFonts w:hint="eastAsia"/>
          <w:bCs/>
          <w:color w:val="000000"/>
          <w:sz w:val="32"/>
          <w:szCs w:val="32"/>
        </w:rPr>
        <w:t>年本年收入合计62.81万元，其中：一般公共预算财政拨款收入62.81万元，占100</w:t>
      </w:r>
      <w:r>
        <w:rPr>
          <w:bCs/>
          <w:color w:val="000000"/>
          <w:sz w:val="32"/>
          <w:szCs w:val="32"/>
        </w:rPr>
        <w:t>%</w:t>
      </w:r>
      <w:r>
        <w:rPr>
          <w:rFonts w:hint="eastAsia"/>
          <w:bCs/>
          <w:color w:val="000000"/>
          <w:sz w:val="32"/>
          <w:szCs w:val="32"/>
        </w:rPr>
        <w:t>；政府性基金预算财政拨款收入0万元，占0</w:t>
      </w:r>
      <w:r>
        <w:rPr>
          <w:bCs/>
          <w:color w:val="000000"/>
          <w:sz w:val="32"/>
          <w:szCs w:val="32"/>
        </w:rPr>
        <w:t>%</w:t>
      </w:r>
      <w:r>
        <w:rPr>
          <w:rFonts w:hint="eastAsia"/>
          <w:bCs/>
          <w:color w:val="000000"/>
          <w:sz w:val="32"/>
          <w:szCs w:val="32"/>
        </w:rPr>
        <w:t>；上级补助收入0万元，占0</w:t>
      </w:r>
      <w:r>
        <w:rPr>
          <w:bCs/>
          <w:color w:val="000000"/>
          <w:sz w:val="32"/>
          <w:szCs w:val="32"/>
        </w:rPr>
        <w:t>%</w:t>
      </w:r>
      <w:r>
        <w:rPr>
          <w:rFonts w:hint="eastAsia"/>
          <w:bCs/>
          <w:color w:val="000000"/>
          <w:sz w:val="32"/>
          <w:szCs w:val="32"/>
        </w:rPr>
        <w:t>；事业收入0万元，占0</w:t>
      </w:r>
      <w:r>
        <w:rPr>
          <w:bCs/>
          <w:color w:val="000000"/>
          <w:sz w:val="32"/>
          <w:szCs w:val="32"/>
        </w:rPr>
        <w:t>%</w:t>
      </w:r>
      <w:r>
        <w:rPr>
          <w:rFonts w:hint="eastAsia"/>
          <w:bCs/>
          <w:color w:val="000000"/>
          <w:sz w:val="32"/>
          <w:szCs w:val="32"/>
        </w:rPr>
        <w:t>；经营收入0万元，占0</w:t>
      </w:r>
      <w:r>
        <w:rPr>
          <w:bCs/>
          <w:color w:val="000000"/>
          <w:sz w:val="32"/>
          <w:szCs w:val="32"/>
        </w:rPr>
        <w:t>%</w:t>
      </w:r>
      <w:r>
        <w:rPr>
          <w:rFonts w:hint="eastAsia"/>
          <w:bCs/>
          <w:color w:val="000000"/>
          <w:sz w:val="32"/>
          <w:szCs w:val="32"/>
        </w:rPr>
        <w:t>；附属单位上缴收入0万元，占0</w:t>
      </w:r>
      <w:r>
        <w:rPr>
          <w:bCs/>
          <w:color w:val="000000"/>
          <w:sz w:val="32"/>
          <w:szCs w:val="32"/>
        </w:rPr>
        <w:t>%</w:t>
      </w:r>
      <w:r>
        <w:rPr>
          <w:rFonts w:hint="eastAsia"/>
          <w:bCs/>
          <w:color w:val="000000"/>
          <w:sz w:val="32"/>
          <w:szCs w:val="32"/>
        </w:rPr>
        <w:t>；其他收入0万元，占0</w:t>
      </w:r>
      <w:r>
        <w:rPr>
          <w:bCs/>
          <w:color w:val="000000"/>
          <w:sz w:val="32"/>
          <w:szCs w:val="32"/>
        </w:rPr>
        <w:t>%</w:t>
      </w:r>
      <w:r>
        <w:rPr>
          <w:rFonts w:hint="eastAsia"/>
          <w:bCs/>
          <w:color w:val="000000"/>
          <w:sz w:val="32"/>
          <w:szCs w:val="32"/>
        </w:rPr>
        <w:t>。（注：数据来源于财决</w:t>
      </w:r>
      <w:r>
        <w:rPr>
          <w:bCs/>
          <w:color w:val="000000"/>
          <w:sz w:val="32"/>
          <w:szCs w:val="32"/>
        </w:rPr>
        <w:t>01</w:t>
      </w:r>
      <w:r>
        <w:rPr>
          <w:rFonts w:hint="eastAsia"/>
          <w:bCs/>
          <w:color w:val="000000"/>
          <w:sz w:val="32"/>
          <w:szCs w:val="32"/>
        </w:rPr>
        <w:t>表）（图</w:t>
      </w:r>
      <w:r>
        <w:rPr>
          <w:bCs/>
          <w:color w:val="000000"/>
          <w:sz w:val="32"/>
          <w:szCs w:val="32"/>
        </w:rPr>
        <w:t>2</w:t>
      </w:r>
      <w:r>
        <w:rPr>
          <w:rFonts w:hint="eastAsia"/>
          <w:bCs/>
          <w:color w:val="000000"/>
          <w:sz w:val="32"/>
          <w:szCs w:val="32"/>
        </w:rPr>
        <w:t>：收入决算结构图）（饼状图）</w:t>
      </w:r>
    </w:p>
    <w:p>
      <w:pPr>
        <w:pStyle w:val="6"/>
        <w:adjustRightInd w:val="0"/>
        <w:snapToGrid w:val="0"/>
        <w:spacing w:before="93" w:beforeLines="0" w:line="600" w:lineRule="exact"/>
        <w:ind w:firstLine="668" w:firstLineChars="209"/>
        <w:outlineLvl w:val="2"/>
        <w:rPr>
          <w:bCs/>
          <w:color w:val="000000"/>
          <w:sz w:val="32"/>
          <w:szCs w:val="32"/>
        </w:rPr>
      </w:pPr>
      <w:r>
        <w:rPr>
          <w:rFonts w:hint="eastAsia"/>
          <w:bCs/>
          <w:color w:val="000000"/>
          <w:sz w:val="32"/>
          <w:szCs w:val="32"/>
          <w:lang w:val="en-US"/>
        </w:rPr>
        <w:drawing>
          <wp:anchor distT="0" distB="0" distL="114300" distR="114300" simplePos="0" relativeHeight="1024" behindDoc="0" locked="0" layoutInCell="1" allowOverlap="1">
            <wp:simplePos x="0" y="0"/>
            <wp:positionH relativeFrom="column">
              <wp:posOffset>358775</wp:posOffset>
            </wp:positionH>
            <wp:positionV relativeFrom="paragraph">
              <wp:posOffset>62230</wp:posOffset>
            </wp:positionV>
            <wp:extent cx="4423410" cy="2041525"/>
            <wp:effectExtent l="0" t="0" r="0" b="0"/>
            <wp:wrapSquare wrapText="bothSides"/>
            <wp:docPr id="4" name="图表 6"/>
            <wp:cNvGraphicFramePr/>
            <a:graphic xmlns:a="http://schemas.openxmlformats.org/drawingml/2006/main">
              <a:graphicData uri="http://schemas.openxmlformats.org/drawingml/2006/picture">
                <pic:pic xmlns:pic="http://schemas.openxmlformats.org/drawingml/2006/picture">
                  <pic:nvPicPr>
                    <pic:cNvPr id="4" name="图表 6"/>
                    <pic:cNvPicPr/>
                  </pic:nvPicPr>
                  <pic:blipFill>
                    <a:blip r:embed="rId7"/>
                    <a:stretch>
                      <a:fillRect/>
                    </a:stretch>
                  </pic:blipFill>
                  <pic:spPr>
                    <a:xfrm>
                      <a:off x="0" y="0"/>
                      <a:ext cx="4423410" cy="2041525"/>
                    </a:xfrm>
                    <a:prstGeom prst="rect">
                      <a:avLst/>
                    </a:prstGeom>
                    <a:ln w="9525" cap="flat" cmpd="sng">
                      <a:solidFill>
                        <a:srgbClr val="000000"/>
                      </a:solidFill>
                      <a:prstDash val="solid"/>
                      <a:miter/>
                    </a:ln>
                  </pic:spPr>
                </pic:pic>
              </a:graphicData>
            </a:graphic>
          </wp:anchor>
        </w:drawing>
      </w:r>
    </w:p>
    <w:p>
      <w:pPr>
        <w:pStyle w:val="6"/>
        <w:adjustRightInd w:val="0"/>
        <w:snapToGrid w:val="0"/>
        <w:spacing w:before="93" w:beforeLines="0" w:line="600" w:lineRule="exact"/>
        <w:ind w:firstLine="668" w:firstLineChars="209"/>
        <w:outlineLvl w:val="2"/>
        <w:rPr>
          <w:bCs/>
          <w:color w:val="000000"/>
          <w:sz w:val="32"/>
          <w:szCs w:val="32"/>
        </w:rPr>
      </w:pPr>
    </w:p>
    <w:p>
      <w:pPr>
        <w:pStyle w:val="6"/>
        <w:adjustRightInd w:val="0"/>
        <w:snapToGrid w:val="0"/>
        <w:spacing w:before="93" w:beforeLines="0" w:line="600" w:lineRule="exact"/>
        <w:ind w:firstLine="668" w:firstLineChars="209"/>
        <w:outlineLvl w:val="2"/>
        <w:rPr>
          <w:bCs/>
          <w:color w:val="000000"/>
          <w:sz w:val="32"/>
          <w:szCs w:val="32"/>
        </w:rPr>
      </w:pPr>
    </w:p>
    <w:p>
      <w:pPr>
        <w:pStyle w:val="6"/>
        <w:adjustRightInd w:val="0"/>
        <w:snapToGrid w:val="0"/>
        <w:spacing w:before="93" w:beforeLines="0" w:line="600" w:lineRule="exact"/>
        <w:ind w:firstLine="668" w:firstLineChars="209"/>
        <w:outlineLvl w:val="2"/>
        <w:rPr>
          <w:bCs/>
          <w:color w:val="000000"/>
          <w:sz w:val="32"/>
          <w:szCs w:val="32"/>
        </w:rPr>
      </w:pPr>
    </w:p>
    <w:p>
      <w:pPr>
        <w:pStyle w:val="6"/>
        <w:adjustRightInd w:val="0"/>
        <w:snapToGrid w:val="0"/>
        <w:spacing w:before="93" w:beforeLines="0" w:line="600" w:lineRule="exact"/>
        <w:ind w:firstLine="668" w:firstLineChars="209"/>
        <w:outlineLvl w:val="2"/>
        <w:rPr>
          <w:color w:val="000000"/>
        </w:rPr>
      </w:pPr>
      <w:bookmarkStart w:id="44" w:name="_Toc79163612"/>
      <w:bookmarkStart w:id="45" w:name="_Toc23691"/>
      <w:bookmarkStart w:id="46" w:name="_Toc15396605"/>
      <w:bookmarkStart w:id="47" w:name="_Toc15377207"/>
      <w:r>
        <w:rPr>
          <w:rFonts w:hint="eastAsia"/>
          <w:bCs/>
          <w:color w:val="000000"/>
          <w:sz w:val="32"/>
          <w:szCs w:val="32"/>
        </w:rPr>
        <w:t>三、支</w:t>
      </w:r>
      <w:r>
        <w:rPr>
          <w:rFonts w:hint="eastAsia"/>
          <w:color w:val="000000"/>
          <w:sz w:val="32"/>
          <w:szCs w:val="32"/>
        </w:rPr>
        <w:t>出决算情况说明</w:t>
      </w:r>
      <w:bookmarkEnd w:id="44"/>
      <w:bookmarkEnd w:id="45"/>
      <w:bookmarkEnd w:id="46"/>
      <w:bookmarkEnd w:id="47"/>
    </w:p>
    <w:p>
      <w:pPr>
        <w:pStyle w:val="6"/>
        <w:adjustRightInd w:val="0"/>
        <w:snapToGrid w:val="0"/>
        <w:spacing w:before="93" w:beforeLines="0" w:line="600" w:lineRule="exact"/>
        <w:ind w:firstLine="668" w:firstLineChars="209"/>
        <w:outlineLvl w:val="2"/>
        <w:rPr>
          <w:bCs/>
          <w:color w:val="000000"/>
          <w:sz w:val="32"/>
          <w:szCs w:val="32"/>
        </w:rPr>
      </w:pPr>
      <w:r>
        <w:rPr>
          <w:sz w:val="32"/>
          <w:szCs w:val="32"/>
        </w:rPr>
        <w:t>2</w:t>
      </w:r>
      <w:r>
        <w:rPr>
          <w:bCs/>
          <w:color w:val="000000"/>
          <w:sz w:val="32"/>
          <w:szCs w:val="32"/>
        </w:rPr>
        <w:t>020</w:t>
      </w:r>
      <w:r>
        <w:rPr>
          <w:rFonts w:hint="eastAsia"/>
          <w:bCs/>
          <w:color w:val="000000"/>
          <w:sz w:val="32"/>
          <w:szCs w:val="32"/>
        </w:rPr>
        <w:t>年本年支出合计71.08万元，其中：基本支出71.08万元，占100</w:t>
      </w:r>
      <w:r>
        <w:rPr>
          <w:bCs/>
          <w:color w:val="000000"/>
          <w:sz w:val="32"/>
          <w:szCs w:val="32"/>
        </w:rPr>
        <w:t>%</w:t>
      </w:r>
      <w:r>
        <w:rPr>
          <w:rFonts w:hint="eastAsia"/>
          <w:bCs/>
          <w:color w:val="000000"/>
          <w:sz w:val="32"/>
          <w:szCs w:val="32"/>
        </w:rPr>
        <w:t>；项目支出0万元，占0</w:t>
      </w:r>
      <w:r>
        <w:rPr>
          <w:bCs/>
          <w:color w:val="000000"/>
          <w:sz w:val="32"/>
          <w:szCs w:val="32"/>
        </w:rPr>
        <w:t>%</w:t>
      </w:r>
      <w:r>
        <w:rPr>
          <w:rFonts w:hint="eastAsia"/>
          <w:bCs/>
          <w:color w:val="000000"/>
          <w:sz w:val="32"/>
          <w:szCs w:val="32"/>
        </w:rPr>
        <w:t>；上缴上级支出0万元，占0</w:t>
      </w:r>
      <w:r>
        <w:rPr>
          <w:bCs/>
          <w:color w:val="000000"/>
          <w:sz w:val="32"/>
          <w:szCs w:val="32"/>
        </w:rPr>
        <w:t>%</w:t>
      </w:r>
      <w:r>
        <w:rPr>
          <w:rFonts w:hint="eastAsia"/>
          <w:bCs/>
          <w:color w:val="000000"/>
          <w:sz w:val="32"/>
          <w:szCs w:val="32"/>
        </w:rPr>
        <w:t>；经营支出0万元，占0</w:t>
      </w:r>
      <w:r>
        <w:rPr>
          <w:bCs/>
          <w:color w:val="000000"/>
          <w:sz w:val="32"/>
          <w:szCs w:val="32"/>
        </w:rPr>
        <w:t>%</w:t>
      </w:r>
      <w:r>
        <w:rPr>
          <w:rFonts w:hint="eastAsia"/>
          <w:bCs/>
          <w:color w:val="000000"/>
          <w:sz w:val="32"/>
          <w:szCs w:val="32"/>
        </w:rPr>
        <w:t>；对附属单位补助支出0万元，占0</w:t>
      </w:r>
      <w:r>
        <w:rPr>
          <w:bCs/>
          <w:color w:val="000000"/>
          <w:sz w:val="32"/>
          <w:szCs w:val="32"/>
        </w:rPr>
        <w:t>%</w:t>
      </w:r>
      <w:r>
        <w:rPr>
          <w:rFonts w:hint="eastAsia"/>
          <w:bCs/>
          <w:color w:val="000000"/>
          <w:sz w:val="32"/>
          <w:szCs w:val="32"/>
        </w:rPr>
        <w:t>。</w:t>
      </w:r>
      <w:r>
        <w:rPr>
          <w:rFonts w:hint="eastAsia"/>
          <w:bCs/>
          <w:color w:val="FF0000"/>
          <w:sz w:val="32"/>
          <w:szCs w:val="32"/>
        </w:rPr>
        <w:t>（注：数据来源于财决</w:t>
      </w:r>
      <w:r>
        <w:rPr>
          <w:bCs/>
          <w:color w:val="FF0000"/>
          <w:sz w:val="32"/>
          <w:szCs w:val="32"/>
        </w:rPr>
        <w:t>04</w:t>
      </w:r>
      <w:r>
        <w:rPr>
          <w:rFonts w:hint="eastAsia"/>
          <w:bCs/>
          <w:color w:val="FF0000"/>
          <w:sz w:val="32"/>
          <w:szCs w:val="32"/>
        </w:rPr>
        <w:t>表）</w:t>
      </w:r>
      <w:r>
        <w:rPr>
          <w:rFonts w:hint="eastAsia"/>
          <w:bCs/>
          <w:color w:val="000000"/>
          <w:sz w:val="32"/>
          <w:szCs w:val="32"/>
        </w:rPr>
        <w:t>（图</w:t>
      </w:r>
      <w:r>
        <w:rPr>
          <w:bCs/>
          <w:color w:val="000000"/>
          <w:sz w:val="32"/>
          <w:szCs w:val="32"/>
        </w:rPr>
        <w:t>3</w:t>
      </w:r>
      <w:r>
        <w:rPr>
          <w:rFonts w:hint="eastAsia"/>
          <w:bCs/>
          <w:color w:val="000000"/>
          <w:sz w:val="32"/>
          <w:szCs w:val="32"/>
        </w:rPr>
        <w:t>：支出决算结构图）（饼状图）</w:t>
      </w:r>
    </w:p>
    <w:p>
      <w:pPr>
        <w:spacing w:line="600" w:lineRule="exact"/>
        <w:ind w:firstLine="640" w:firstLineChars="200"/>
        <w:rPr>
          <w:rFonts w:ascii="仿宋_GB2312" w:eastAsia="仿宋_GB2312"/>
          <w:color w:val="FF0000"/>
          <w:sz w:val="32"/>
          <w:szCs w:val="32"/>
        </w:rPr>
      </w:pPr>
      <w:r>
        <w:rPr>
          <w:rFonts w:hint="eastAsia" w:ascii="仿宋_GB2312" w:eastAsia="仿宋_GB2312"/>
          <w:color w:val="FF0000"/>
          <w:sz w:val="32"/>
          <w:szCs w:val="32"/>
        </w:rPr>
        <w:drawing>
          <wp:anchor distT="0" distB="0" distL="114300" distR="114300" simplePos="0" relativeHeight="1024" behindDoc="0" locked="0" layoutInCell="1" allowOverlap="1">
            <wp:simplePos x="0" y="0"/>
            <wp:positionH relativeFrom="column">
              <wp:posOffset>304800</wp:posOffset>
            </wp:positionH>
            <wp:positionV relativeFrom="paragraph">
              <wp:posOffset>95250</wp:posOffset>
            </wp:positionV>
            <wp:extent cx="4543425" cy="2066925"/>
            <wp:effectExtent l="0" t="0" r="0" b="0"/>
            <wp:wrapSquare wrapText="bothSides"/>
            <wp:docPr id="7" name="图表 7"/>
            <wp:cNvGraphicFramePr/>
            <a:graphic xmlns:a="http://schemas.openxmlformats.org/drawingml/2006/main">
              <a:graphicData uri="http://schemas.openxmlformats.org/drawingml/2006/picture">
                <pic:pic xmlns:pic="http://schemas.openxmlformats.org/drawingml/2006/picture">
                  <pic:nvPicPr>
                    <pic:cNvPr id="7" name="图表 7"/>
                    <pic:cNvPicPr/>
                  </pic:nvPicPr>
                  <pic:blipFill>
                    <a:blip r:embed="rId8"/>
                    <a:stretch>
                      <a:fillRect/>
                    </a:stretch>
                  </pic:blipFill>
                  <pic:spPr>
                    <a:xfrm>
                      <a:off x="0" y="0"/>
                      <a:ext cx="4543425" cy="2066925"/>
                    </a:xfrm>
                    <a:prstGeom prst="rect">
                      <a:avLst/>
                    </a:prstGeom>
                    <a:ln w="9525" cap="flat" cmpd="sng">
                      <a:solidFill>
                        <a:srgbClr val="000000"/>
                      </a:solidFill>
                      <a:prstDash val="solid"/>
                      <a:miter/>
                    </a:ln>
                  </pic:spPr>
                </pic:pic>
              </a:graphicData>
            </a:graphic>
          </wp:anchor>
        </w:drawing>
      </w: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rPr>
          <w:rFonts w:ascii="仿宋_GB2312" w:eastAsia="仿宋_GB2312"/>
          <w:color w:val="FF0000"/>
          <w:sz w:val="32"/>
          <w:szCs w:val="32"/>
        </w:rPr>
      </w:pPr>
    </w:p>
    <w:p>
      <w:pPr>
        <w:spacing w:line="600" w:lineRule="exact"/>
        <w:ind w:firstLine="640" w:firstLineChars="200"/>
        <w:outlineLvl w:val="1"/>
        <w:rPr>
          <w:rStyle w:val="23"/>
          <w:rFonts w:ascii="仿宋_GB2312" w:eastAsia="仿宋_GB2312"/>
          <w:b w:val="0"/>
        </w:rPr>
      </w:pPr>
      <w:bookmarkStart w:id="48" w:name="_Toc15377208"/>
      <w:bookmarkStart w:id="49" w:name="_Toc79163613"/>
      <w:bookmarkStart w:id="50" w:name="_Toc15396606"/>
      <w:bookmarkStart w:id="51" w:name="_Toc8837"/>
      <w:r>
        <w:rPr>
          <w:rFonts w:hint="eastAsia" w:ascii="仿宋_GB2312" w:eastAsia="仿宋_GB2312"/>
          <w:color w:val="000000"/>
          <w:sz w:val="32"/>
          <w:szCs w:val="32"/>
        </w:rPr>
        <w:t>四、财</w:t>
      </w:r>
      <w:r>
        <w:rPr>
          <w:rStyle w:val="23"/>
          <w:rFonts w:hint="eastAsia" w:ascii="仿宋_GB2312" w:eastAsia="仿宋_GB2312"/>
          <w:b w:val="0"/>
        </w:rPr>
        <w:t>政拨款收入支出决算总体情况说明</w:t>
      </w:r>
      <w:bookmarkEnd w:id="48"/>
      <w:bookmarkEnd w:id="49"/>
      <w:bookmarkEnd w:id="50"/>
      <w:bookmarkEnd w:id="51"/>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2020年财政拨款收入总计62.81万元。与2019年相比，财政拨款收入总计增加13.6万元，增长27.64%。主要变动原因是人员增加。</w:t>
      </w:r>
    </w:p>
    <w:p>
      <w:pPr>
        <w:spacing w:line="600" w:lineRule="exact"/>
        <w:ind w:firstLine="640"/>
        <w:rPr>
          <w:rFonts w:ascii="仿宋" w:eastAsia="仿宋"/>
          <w:color w:val="000000"/>
          <w:sz w:val="32"/>
          <w:szCs w:val="32"/>
        </w:rPr>
      </w:pPr>
      <w:r>
        <w:rPr>
          <w:rFonts w:hint="eastAsia" w:ascii="仿宋_GB2312" w:eastAsia="仿宋_GB2312"/>
          <w:color w:val="000000"/>
          <w:sz w:val="32"/>
          <w:szCs w:val="32"/>
        </w:rPr>
        <w:t>2020年财政拨款支出总计71.08万元。与2019年相比，财政拨款支出总计增加11.12万元，增长18.55%。主要变动原因是人员增加。</w:t>
      </w:r>
      <w:r>
        <w:rPr>
          <w:rFonts w:hint="eastAsia" w:ascii="仿宋" w:eastAsia="仿宋"/>
          <w:b/>
          <w:color w:val="FF0000"/>
          <w:sz w:val="32"/>
          <w:szCs w:val="32"/>
        </w:rPr>
        <w:t>（注：除国有资本经营预算外，数据来源于财决</w:t>
      </w:r>
      <w:r>
        <w:rPr>
          <w:rFonts w:ascii="仿宋" w:eastAsia="仿宋"/>
          <w:b/>
          <w:color w:val="FF0000"/>
          <w:sz w:val="32"/>
          <w:szCs w:val="32"/>
        </w:rPr>
        <w:t>Z01-1</w:t>
      </w:r>
      <w:r>
        <w:rPr>
          <w:rFonts w:hint="eastAsia" w:ascii="仿宋" w:eastAsia="仿宋"/>
          <w:b/>
          <w:color w:val="FF0000"/>
          <w:sz w:val="32"/>
          <w:szCs w:val="32"/>
        </w:rPr>
        <w:t>表，口径为“总计”数</w:t>
      </w:r>
      <w:r>
        <w:rPr>
          <w:rFonts w:ascii="仿宋" w:eastAsia="仿宋"/>
          <w:b/>
          <w:color w:val="FF0000"/>
          <w:sz w:val="32"/>
          <w:szCs w:val="32"/>
        </w:rPr>
        <w:t>+</w:t>
      </w:r>
      <w:r>
        <w:rPr>
          <w:rFonts w:hint="eastAsia" w:ascii="仿宋" w:eastAsia="仿宋"/>
          <w:b/>
          <w:color w:val="FF0000"/>
          <w:sz w:val="32"/>
          <w:szCs w:val="32"/>
        </w:rPr>
        <w:t>国有资本经营预算。）</w:t>
      </w:r>
    </w:p>
    <w:p>
      <w:pPr>
        <w:spacing w:line="600" w:lineRule="exact"/>
        <w:rPr>
          <w:rFonts w:ascii="仿宋_GB2312" w:eastAsia="仿宋_GB2312"/>
          <w:color w:val="000000"/>
          <w:sz w:val="32"/>
          <w:szCs w:val="32"/>
        </w:rPr>
      </w:pPr>
      <w:r>
        <w:rPr>
          <w:rFonts w:hint="eastAsia" w:ascii="仿宋_GB2312" w:eastAsia="仿宋_GB2312"/>
          <w:color w:val="000000"/>
          <w:sz w:val="32"/>
          <w:szCs w:val="32"/>
        </w:rPr>
        <w:t>（图4：财政拨款收、支决算总计变动情况）（柱状图）</w:t>
      </w:r>
    </w:p>
    <w:p>
      <w:pPr>
        <w:spacing w:line="600" w:lineRule="exact"/>
        <w:rPr>
          <w:rFonts w:ascii="仿宋" w:eastAsia="仿宋"/>
          <w:b/>
          <w:color w:val="00B050"/>
          <w:sz w:val="32"/>
          <w:szCs w:val="32"/>
        </w:rPr>
      </w:pPr>
      <w:r>
        <w:rPr>
          <w:rFonts w:hint="eastAsia" w:ascii="仿宋" w:eastAsia="仿宋"/>
          <w:color w:val="000000"/>
          <w:sz w:val="32"/>
          <w:szCs w:val="32"/>
        </w:rPr>
        <w:drawing>
          <wp:anchor distT="0" distB="0" distL="114300" distR="114300" simplePos="0" relativeHeight="1024" behindDoc="0" locked="0" layoutInCell="1" allowOverlap="1">
            <wp:simplePos x="0" y="0"/>
            <wp:positionH relativeFrom="column">
              <wp:posOffset>285750</wp:posOffset>
            </wp:positionH>
            <wp:positionV relativeFrom="paragraph">
              <wp:posOffset>238125</wp:posOffset>
            </wp:positionV>
            <wp:extent cx="4438650" cy="2400300"/>
            <wp:effectExtent l="0" t="0" r="0" b="0"/>
            <wp:wrapSquare wrapText="bothSides"/>
            <wp:docPr id="10" name="图表 2"/>
            <wp:cNvGraphicFramePr/>
            <a:graphic xmlns:a="http://schemas.openxmlformats.org/drawingml/2006/main">
              <a:graphicData uri="http://schemas.openxmlformats.org/drawingml/2006/picture">
                <pic:pic xmlns:pic="http://schemas.openxmlformats.org/drawingml/2006/picture">
                  <pic:nvPicPr>
                    <pic:cNvPr id="10" name="图表 2"/>
                    <pic:cNvPicPr/>
                  </pic:nvPicPr>
                  <pic:blipFill>
                    <a:blip r:embed="rId9"/>
                    <a:stretch>
                      <a:fillRect/>
                    </a:stretch>
                  </pic:blipFill>
                  <pic:spPr>
                    <a:xfrm>
                      <a:off x="0" y="0"/>
                      <a:ext cx="4438650" cy="2400300"/>
                    </a:xfrm>
                    <a:prstGeom prst="rect">
                      <a:avLst/>
                    </a:prstGeom>
                    <a:ln w="9525" cap="flat" cmpd="sng">
                      <a:solidFill>
                        <a:srgbClr val="000000"/>
                      </a:solidFill>
                      <a:prstDash val="solid"/>
                      <a:miter/>
                    </a:ln>
                  </pic:spPr>
                </pic:pic>
              </a:graphicData>
            </a:graphic>
          </wp:anchor>
        </w:drawing>
      </w:r>
      <w:bookmarkStart w:id="52" w:name="_Toc15396607"/>
      <w:bookmarkStart w:id="53" w:name="_Toc15377209"/>
      <w:bookmarkStart w:id="54" w:name="_Toc79163614"/>
    </w:p>
    <w:p>
      <w:pPr>
        <w:spacing w:line="600" w:lineRule="exact"/>
        <w:ind w:firstLine="640" w:firstLineChars="200"/>
        <w:outlineLvl w:val="1"/>
        <w:rPr>
          <w:rFonts w:ascii="黑体" w:eastAsia="黑体"/>
          <w:color w:val="000000"/>
          <w:sz w:val="32"/>
          <w:szCs w:val="32"/>
        </w:rPr>
      </w:pPr>
    </w:p>
    <w:p>
      <w:pPr>
        <w:spacing w:line="600" w:lineRule="exact"/>
        <w:ind w:firstLine="640" w:firstLineChars="200"/>
        <w:outlineLvl w:val="1"/>
        <w:rPr>
          <w:rFonts w:ascii="黑体" w:eastAsia="黑体"/>
          <w:color w:val="000000"/>
          <w:sz w:val="32"/>
          <w:szCs w:val="32"/>
        </w:rPr>
      </w:pPr>
    </w:p>
    <w:p>
      <w:pPr>
        <w:spacing w:line="600" w:lineRule="exact"/>
        <w:ind w:firstLine="640" w:firstLineChars="200"/>
        <w:outlineLvl w:val="1"/>
        <w:rPr>
          <w:rFonts w:ascii="黑体" w:eastAsia="黑体"/>
          <w:color w:val="000000"/>
          <w:sz w:val="32"/>
          <w:szCs w:val="32"/>
        </w:rPr>
      </w:pPr>
    </w:p>
    <w:p>
      <w:pPr>
        <w:spacing w:line="600" w:lineRule="exact"/>
        <w:ind w:firstLine="640" w:firstLineChars="200"/>
        <w:outlineLvl w:val="1"/>
        <w:rPr>
          <w:rFonts w:ascii="黑体" w:eastAsia="黑体"/>
          <w:color w:val="000000"/>
          <w:sz w:val="32"/>
          <w:szCs w:val="32"/>
        </w:rPr>
      </w:pPr>
    </w:p>
    <w:p>
      <w:pPr>
        <w:spacing w:line="600" w:lineRule="exact"/>
        <w:ind w:firstLine="640" w:firstLineChars="200"/>
        <w:outlineLvl w:val="1"/>
        <w:rPr>
          <w:rFonts w:ascii="黑体" w:eastAsia="黑体"/>
          <w:color w:val="000000"/>
          <w:sz w:val="32"/>
          <w:szCs w:val="32"/>
        </w:rPr>
      </w:pPr>
    </w:p>
    <w:p>
      <w:pPr>
        <w:spacing w:line="600" w:lineRule="exact"/>
        <w:ind w:firstLine="640" w:firstLineChars="200"/>
        <w:outlineLvl w:val="1"/>
        <w:rPr>
          <w:rFonts w:ascii="黑体" w:eastAsia="黑体"/>
          <w:color w:val="000000"/>
          <w:sz w:val="32"/>
          <w:szCs w:val="32"/>
        </w:rPr>
      </w:pPr>
    </w:p>
    <w:p>
      <w:pPr>
        <w:spacing w:line="600" w:lineRule="exact"/>
        <w:ind w:firstLine="640" w:firstLineChars="200"/>
        <w:outlineLvl w:val="1"/>
        <w:rPr>
          <w:rStyle w:val="23"/>
          <w:rFonts w:ascii="仿宋_GB2312" w:eastAsia="仿宋_GB2312"/>
          <w:b w:val="0"/>
        </w:rPr>
      </w:pPr>
      <w:bookmarkStart w:id="55" w:name="_Toc7893"/>
      <w:r>
        <w:rPr>
          <w:rFonts w:hint="eastAsia" w:ascii="仿宋_GB2312" w:eastAsia="仿宋_GB2312"/>
          <w:color w:val="000000"/>
          <w:sz w:val="32"/>
          <w:szCs w:val="32"/>
        </w:rPr>
        <w:t>五、</w:t>
      </w:r>
      <w:r>
        <w:rPr>
          <w:rFonts w:hint="eastAsia" w:ascii="仿宋_GB2312" w:eastAsia="仿宋_GB2312"/>
          <w:b/>
          <w:color w:val="000000"/>
          <w:sz w:val="32"/>
          <w:szCs w:val="32"/>
        </w:rPr>
        <w:t>一</w:t>
      </w:r>
      <w:r>
        <w:rPr>
          <w:rStyle w:val="23"/>
          <w:rFonts w:hint="eastAsia" w:ascii="仿宋_GB2312" w:eastAsia="仿宋_GB2312"/>
          <w:b w:val="0"/>
        </w:rPr>
        <w:t>般公共预算财政拨款支出决算情况说明</w:t>
      </w:r>
      <w:bookmarkEnd w:id="52"/>
      <w:bookmarkEnd w:id="53"/>
      <w:bookmarkEnd w:id="54"/>
      <w:bookmarkEnd w:id="55"/>
    </w:p>
    <w:p>
      <w:pPr>
        <w:spacing w:line="600" w:lineRule="exact"/>
        <w:ind w:firstLine="643" w:firstLineChars="200"/>
        <w:outlineLvl w:val="2"/>
        <w:rPr>
          <w:rFonts w:ascii="仿宋_GB2312" w:eastAsia="仿宋_GB2312"/>
          <w:b/>
          <w:color w:val="000000"/>
          <w:sz w:val="32"/>
          <w:szCs w:val="32"/>
        </w:rPr>
      </w:pPr>
      <w:bookmarkStart w:id="56" w:name="_Toc15377210"/>
      <w:bookmarkStart w:id="57" w:name="_Toc10780"/>
      <w:bookmarkStart w:id="58" w:name="_Toc79163615"/>
      <w:r>
        <w:rPr>
          <w:rFonts w:hint="eastAsia" w:ascii="仿宋_GB2312" w:eastAsia="仿宋_GB2312"/>
          <w:b/>
          <w:color w:val="000000"/>
          <w:sz w:val="32"/>
          <w:szCs w:val="32"/>
        </w:rPr>
        <w:t>（一）一般公共预算财政拨款支出决算总体情况</w:t>
      </w:r>
      <w:bookmarkEnd w:id="56"/>
      <w:bookmarkEnd w:id="57"/>
      <w:bookmarkEnd w:id="58"/>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2020年一般公共预算财政拨款支出71.08万元，占本年支出合计的100%。与2019年相比，一般公共预算财政拨款增加11.12万元，增长18.55%。主要变动原因是人员增加。</w:t>
      </w:r>
    </w:p>
    <w:p>
      <w:pPr>
        <w:spacing w:line="600" w:lineRule="exact"/>
        <w:rPr>
          <w:rFonts w:ascii="仿宋_GB2312" w:eastAsia="仿宋_GB2312"/>
          <w:color w:val="000000"/>
          <w:sz w:val="32"/>
          <w:szCs w:val="32"/>
        </w:rPr>
      </w:pPr>
      <w:r>
        <w:rPr>
          <w:rFonts w:hint="eastAsia" w:ascii="仿宋_GB2312" w:eastAsia="仿宋_GB2312"/>
          <w:color w:val="000000"/>
          <w:sz w:val="32"/>
          <w:szCs w:val="32"/>
        </w:rPr>
        <w:drawing>
          <wp:anchor distT="0" distB="0" distL="114300" distR="114300" simplePos="0" relativeHeight="1024" behindDoc="0" locked="0" layoutInCell="1" allowOverlap="1">
            <wp:simplePos x="0" y="0"/>
            <wp:positionH relativeFrom="column">
              <wp:posOffset>238125</wp:posOffset>
            </wp:positionH>
            <wp:positionV relativeFrom="paragraph">
              <wp:posOffset>485775</wp:posOffset>
            </wp:positionV>
            <wp:extent cx="4610100" cy="2076450"/>
            <wp:effectExtent l="0" t="0" r="0" b="0"/>
            <wp:wrapSquare wrapText="bothSides"/>
            <wp:docPr id="13" name="图表 9"/>
            <wp:cNvGraphicFramePr/>
            <a:graphic xmlns:a="http://schemas.openxmlformats.org/drawingml/2006/main">
              <a:graphicData uri="http://schemas.openxmlformats.org/drawingml/2006/picture">
                <pic:pic xmlns:pic="http://schemas.openxmlformats.org/drawingml/2006/picture">
                  <pic:nvPicPr>
                    <pic:cNvPr id="13" name="图表 9"/>
                    <pic:cNvPicPr/>
                  </pic:nvPicPr>
                  <pic:blipFill>
                    <a:blip r:embed="rId10"/>
                    <a:stretch>
                      <a:fillRect/>
                    </a:stretch>
                  </pic:blipFill>
                  <pic:spPr>
                    <a:xfrm>
                      <a:off x="0" y="0"/>
                      <a:ext cx="4610100" cy="2076449"/>
                    </a:xfrm>
                    <a:prstGeom prst="rect">
                      <a:avLst/>
                    </a:prstGeom>
                    <a:ln w="9525" cap="flat" cmpd="sng">
                      <a:solidFill>
                        <a:srgbClr val="000000"/>
                      </a:solidFill>
                      <a:prstDash val="solid"/>
                      <a:miter/>
                    </a:ln>
                  </pic:spPr>
                </pic:pic>
              </a:graphicData>
            </a:graphic>
          </wp:anchor>
        </w:drawing>
      </w:r>
      <w:r>
        <w:rPr>
          <w:rFonts w:hint="eastAsia" w:ascii="仿宋_GB2312" w:eastAsia="仿宋_GB2312"/>
          <w:color w:val="000000"/>
          <w:sz w:val="32"/>
          <w:szCs w:val="32"/>
        </w:rPr>
        <w:t>（图5：一般公共预算财政拨款支出决算变动情况）（柱状图）</w:t>
      </w:r>
    </w:p>
    <w:p>
      <w:pPr>
        <w:spacing w:line="600" w:lineRule="exact"/>
        <w:rPr>
          <w:rFonts w:ascii="仿宋_GB2312" w:eastAsia="仿宋_GB2312"/>
          <w:color w:val="000000"/>
          <w:sz w:val="32"/>
          <w:szCs w:val="32"/>
        </w:rPr>
      </w:pPr>
    </w:p>
    <w:p>
      <w:pPr>
        <w:spacing w:line="600" w:lineRule="exact"/>
        <w:rPr>
          <w:rFonts w:ascii="仿宋" w:eastAsia="仿宋"/>
          <w:color w:val="000000"/>
          <w:sz w:val="32"/>
          <w:szCs w:val="32"/>
        </w:rPr>
      </w:pPr>
    </w:p>
    <w:p>
      <w:pPr>
        <w:spacing w:line="600" w:lineRule="exact"/>
        <w:rPr>
          <w:rFonts w:ascii="仿宋" w:eastAsia="仿宋"/>
          <w:color w:val="000000"/>
          <w:sz w:val="32"/>
          <w:szCs w:val="32"/>
        </w:rPr>
      </w:pPr>
    </w:p>
    <w:p>
      <w:pPr>
        <w:spacing w:line="600" w:lineRule="exact"/>
        <w:rPr>
          <w:rFonts w:ascii="仿宋" w:eastAsia="仿宋"/>
          <w:color w:val="000000"/>
          <w:sz w:val="32"/>
          <w:szCs w:val="32"/>
        </w:rPr>
      </w:pPr>
    </w:p>
    <w:p>
      <w:pPr>
        <w:spacing w:line="600" w:lineRule="exact"/>
        <w:rPr>
          <w:rFonts w:ascii="仿宋" w:eastAsia="仿宋"/>
          <w:color w:val="000000"/>
          <w:sz w:val="32"/>
          <w:szCs w:val="32"/>
        </w:rPr>
      </w:pPr>
    </w:p>
    <w:p>
      <w:pPr>
        <w:spacing w:line="600" w:lineRule="exact"/>
        <w:rPr>
          <w:rFonts w:ascii="仿宋" w:eastAsia="仿宋"/>
          <w:color w:val="000000"/>
          <w:sz w:val="32"/>
          <w:szCs w:val="32"/>
        </w:rPr>
      </w:pPr>
    </w:p>
    <w:p>
      <w:pPr>
        <w:spacing w:line="600" w:lineRule="exact"/>
        <w:ind w:firstLine="643" w:firstLineChars="200"/>
        <w:outlineLvl w:val="2"/>
        <w:rPr>
          <w:rFonts w:ascii="仿宋_GB2312" w:eastAsia="仿宋_GB2312"/>
          <w:b/>
          <w:color w:val="000000"/>
          <w:sz w:val="32"/>
          <w:szCs w:val="32"/>
        </w:rPr>
      </w:pPr>
      <w:bookmarkStart w:id="59" w:name="_Toc15377211"/>
      <w:bookmarkStart w:id="60" w:name="_Toc79163616"/>
      <w:bookmarkStart w:id="61" w:name="_Toc1748"/>
      <w:r>
        <w:rPr>
          <w:rFonts w:hint="eastAsia" w:ascii="仿宋_GB2312" w:eastAsia="仿宋_GB2312"/>
          <w:b/>
          <w:color w:val="000000"/>
          <w:sz w:val="32"/>
          <w:szCs w:val="32"/>
        </w:rPr>
        <w:t>（二）一般公共预算财政拨款支出决算结构情况</w:t>
      </w:r>
      <w:bookmarkEnd w:id="59"/>
      <w:bookmarkEnd w:id="60"/>
      <w:bookmarkEnd w:id="61"/>
    </w:p>
    <w:p>
      <w:pPr>
        <w:spacing w:line="600" w:lineRule="exact"/>
        <w:ind w:firstLine="640"/>
        <w:rPr>
          <w:rFonts w:ascii="仿宋_GB2312" w:eastAsia="仿宋_GB2312"/>
          <w:b/>
          <w:color w:val="000000"/>
          <w:sz w:val="32"/>
          <w:szCs w:val="32"/>
        </w:rPr>
      </w:pPr>
      <w:r>
        <w:rPr>
          <w:rFonts w:hint="eastAsia" w:ascii="仿宋_GB2312" w:eastAsia="仿宋_GB2312"/>
          <w:color w:val="000000"/>
          <w:sz w:val="32"/>
          <w:szCs w:val="32"/>
        </w:rPr>
        <w:t>2020年一般公共预算财政拨款支出71.08万元，主要用于以下方面:</w:t>
      </w:r>
      <w:r>
        <w:rPr>
          <w:rFonts w:hint="eastAsia" w:ascii="仿宋_GB2312" w:eastAsia="仿宋_GB2312"/>
          <w:b/>
          <w:color w:val="000000"/>
          <w:sz w:val="32"/>
          <w:szCs w:val="32"/>
        </w:rPr>
        <w:t>一般公共服务（类）</w:t>
      </w:r>
      <w:r>
        <w:rPr>
          <w:rFonts w:hint="eastAsia" w:ascii="仿宋_GB2312" w:eastAsia="仿宋_GB2312"/>
          <w:color w:val="000000"/>
          <w:sz w:val="32"/>
          <w:szCs w:val="32"/>
        </w:rPr>
        <w:t>支出54.66万元，占76.90%；</w:t>
      </w:r>
      <w:r>
        <w:rPr>
          <w:rFonts w:hint="eastAsia" w:ascii="仿宋_GB2312" w:eastAsia="仿宋_GB2312"/>
          <w:b/>
          <w:color w:val="000000"/>
          <w:sz w:val="32"/>
          <w:szCs w:val="32"/>
        </w:rPr>
        <w:t>教育支出（类）</w:t>
      </w:r>
      <w:r>
        <w:rPr>
          <w:rFonts w:hint="eastAsia" w:ascii="仿宋_GB2312" w:eastAsia="仿宋_GB2312"/>
          <w:color w:val="000000"/>
          <w:sz w:val="32"/>
          <w:szCs w:val="32"/>
        </w:rPr>
        <w:t>0万元，占0%；</w:t>
      </w:r>
      <w:r>
        <w:rPr>
          <w:rFonts w:hint="eastAsia" w:ascii="仿宋_GB2312" w:eastAsia="仿宋_GB2312"/>
          <w:b/>
          <w:color w:val="000000"/>
          <w:sz w:val="32"/>
          <w:szCs w:val="32"/>
        </w:rPr>
        <w:t>科学技术（类）</w:t>
      </w:r>
      <w:r>
        <w:rPr>
          <w:rFonts w:hint="eastAsia" w:ascii="仿宋_GB2312" w:eastAsia="仿宋_GB2312"/>
          <w:color w:val="000000"/>
          <w:sz w:val="32"/>
          <w:szCs w:val="32"/>
        </w:rPr>
        <w:t>支出0万元，占0%；</w:t>
      </w:r>
      <w:r>
        <w:rPr>
          <w:rFonts w:hint="eastAsia" w:ascii="仿宋_GB2312" w:eastAsia="仿宋_GB2312"/>
          <w:b/>
          <w:bCs/>
          <w:color w:val="000000"/>
          <w:sz w:val="32"/>
          <w:szCs w:val="32"/>
        </w:rPr>
        <w:t>文化旅游体育与传媒（类）支出0万元，占0%</w:t>
      </w:r>
      <w:r>
        <w:rPr>
          <w:rFonts w:hint="eastAsia" w:ascii="仿宋_GB2312" w:eastAsia="仿宋_GB2312"/>
          <w:color w:val="000000"/>
          <w:sz w:val="32"/>
          <w:szCs w:val="32"/>
        </w:rPr>
        <w:t>；</w:t>
      </w:r>
      <w:r>
        <w:rPr>
          <w:rFonts w:hint="eastAsia" w:ascii="仿宋_GB2312" w:eastAsia="仿宋_GB2312"/>
          <w:b/>
          <w:color w:val="000000"/>
          <w:sz w:val="32"/>
          <w:szCs w:val="32"/>
        </w:rPr>
        <w:t>社会保障和就业（类）</w:t>
      </w:r>
      <w:r>
        <w:rPr>
          <w:rFonts w:hint="eastAsia" w:ascii="仿宋_GB2312" w:eastAsia="仿宋_GB2312"/>
          <w:color w:val="000000"/>
          <w:sz w:val="32"/>
          <w:szCs w:val="32"/>
        </w:rPr>
        <w:t>支出7.32万，占10.30%；</w:t>
      </w:r>
      <w:r>
        <w:rPr>
          <w:rFonts w:hint="eastAsia" w:ascii="仿宋_GB2312" w:eastAsia="仿宋_GB2312"/>
          <w:b/>
          <w:bCs/>
          <w:color w:val="000000"/>
          <w:sz w:val="32"/>
          <w:szCs w:val="32"/>
        </w:rPr>
        <w:t>卫生健康支出</w:t>
      </w:r>
      <w:r>
        <w:rPr>
          <w:rFonts w:hint="eastAsia" w:ascii="仿宋_GB2312" w:eastAsia="仿宋_GB2312"/>
          <w:color w:val="000000"/>
          <w:sz w:val="32"/>
          <w:szCs w:val="32"/>
        </w:rPr>
        <w:t>3.83万元，占5.39%；住房保障支出5.27万元，占7.41%。</w:t>
      </w:r>
    </w:p>
    <w:p>
      <w:pPr>
        <w:spacing w:line="600" w:lineRule="exact"/>
        <w:rPr>
          <w:rFonts w:ascii="仿宋_GB2312" w:eastAsia="仿宋_GB2312"/>
          <w:color w:val="000000"/>
          <w:sz w:val="32"/>
          <w:szCs w:val="32"/>
        </w:rPr>
      </w:pPr>
      <w:r>
        <w:rPr>
          <w:rFonts w:hint="eastAsia" w:ascii="仿宋_GB2312" w:eastAsia="仿宋_GB2312"/>
          <w:color w:val="000000"/>
          <w:sz w:val="32"/>
          <w:szCs w:val="32"/>
        </w:rPr>
        <w:drawing>
          <wp:anchor distT="0" distB="0" distL="114300" distR="114300" simplePos="0" relativeHeight="1024" behindDoc="0" locked="0" layoutInCell="1" allowOverlap="1">
            <wp:simplePos x="0" y="0"/>
            <wp:positionH relativeFrom="column">
              <wp:posOffset>333375</wp:posOffset>
            </wp:positionH>
            <wp:positionV relativeFrom="page">
              <wp:posOffset>2400300</wp:posOffset>
            </wp:positionV>
            <wp:extent cx="4600575" cy="2028825"/>
            <wp:effectExtent l="0" t="0" r="0" b="0"/>
            <wp:wrapNone/>
            <wp:docPr id="16" name="图表 3"/>
            <wp:cNvGraphicFramePr/>
            <a:graphic xmlns:a="http://schemas.openxmlformats.org/drawingml/2006/main">
              <a:graphicData uri="http://schemas.openxmlformats.org/drawingml/2006/picture">
                <pic:pic xmlns:pic="http://schemas.openxmlformats.org/drawingml/2006/picture">
                  <pic:nvPicPr>
                    <pic:cNvPr id="16" name="图表 3"/>
                    <pic:cNvPicPr/>
                  </pic:nvPicPr>
                  <pic:blipFill>
                    <a:blip r:embed="rId11"/>
                    <a:stretch>
                      <a:fillRect/>
                    </a:stretch>
                  </pic:blipFill>
                  <pic:spPr>
                    <a:xfrm>
                      <a:off x="0" y="0"/>
                      <a:ext cx="4600575" cy="2028825"/>
                    </a:xfrm>
                    <a:prstGeom prst="rect">
                      <a:avLst/>
                    </a:prstGeom>
                    <a:ln w="9525" cap="flat" cmpd="sng">
                      <a:solidFill>
                        <a:srgbClr val="000000"/>
                      </a:solidFill>
                      <a:prstDash val="solid"/>
                      <a:miter/>
                    </a:ln>
                  </pic:spPr>
                </pic:pic>
              </a:graphicData>
            </a:graphic>
          </wp:anchor>
        </w:drawing>
      </w:r>
      <w:r>
        <w:rPr>
          <w:rFonts w:hint="eastAsia" w:ascii="仿宋_GB2312" w:eastAsia="仿宋_GB2312"/>
          <w:color w:val="000000"/>
          <w:sz w:val="32"/>
          <w:szCs w:val="32"/>
        </w:rPr>
        <w:t>（图6：一般公共预算财政拨款支出决算结构）（饼状图）</w:t>
      </w:r>
    </w:p>
    <w:p>
      <w:pPr>
        <w:spacing w:line="600" w:lineRule="exact"/>
        <w:rPr>
          <w:rFonts w:ascii="仿宋_GB2312" w:eastAsia="仿宋_GB2312"/>
          <w:color w:val="000000"/>
          <w:sz w:val="32"/>
          <w:szCs w:val="32"/>
        </w:rPr>
      </w:pPr>
    </w:p>
    <w:p>
      <w:pPr>
        <w:spacing w:line="600" w:lineRule="exact"/>
        <w:rPr>
          <w:rFonts w:ascii="仿宋_GB2312" w:eastAsia="仿宋_GB2312"/>
          <w:color w:val="000000"/>
          <w:sz w:val="32"/>
          <w:szCs w:val="32"/>
        </w:rPr>
      </w:pPr>
    </w:p>
    <w:p>
      <w:pPr>
        <w:spacing w:line="600" w:lineRule="exact"/>
        <w:rPr>
          <w:rFonts w:ascii="仿宋_GB2312" w:eastAsia="仿宋_GB2312"/>
          <w:color w:val="000000"/>
          <w:sz w:val="32"/>
          <w:szCs w:val="32"/>
        </w:rPr>
      </w:pPr>
    </w:p>
    <w:p>
      <w:pPr>
        <w:spacing w:line="600" w:lineRule="exact"/>
        <w:ind w:firstLine="640" w:firstLineChars="200"/>
        <w:rPr>
          <w:rFonts w:ascii="仿宋_GB2312" w:eastAsia="仿宋_GB2312"/>
          <w:color w:val="000000"/>
          <w:sz w:val="32"/>
          <w:szCs w:val="32"/>
        </w:rPr>
      </w:pPr>
    </w:p>
    <w:p>
      <w:pPr>
        <w:spacing w:line="600" w:lineRule="exact"/>
        <w:ind w:firstLine="643" w:firstLineChars="200"/>
        <w:outlineLvl w:val="2"/>
        <w:rPr>
          <w:rFonts w:ascii="仿宋_GB2312" w:eastAsia="仿宋_GB2312"/>
          <w:b/>
          <w:color w:val="000000"/>
          <w:sz w:val="32"/>
          <w:szCs w:val="32"/>
        </w:rPr>
      </w:pPr>
      <w:bookmarkStart w:id="62" w:name="_Toc79163617"/>
      <w:bookmarkStart w:id="63" w:name="_Toc15377212"/>
    </w:p>
    <w:p>
      <w:pPr>
        <w:spacing w:line="600" w:lineRule="exact"/>
        <w:ind w:firstLine="643" w:firstLineChars="200"/>
        <w:outlineLvl w:val="2"/>
        <w:rPr>
          <w:rFonts w:ascii="仿宋_GB2312" w:eastAsia="仿宋_GB2312"/>
          <w:b/>
          <w:color w:val="000000"/>
          <w:sz w:val="32"/>
          <w:szCs w:val="32"/>
        </w:rPr>
      </w:pPr>
      <w:bookmarkStart w:id="64" w:name="_Toc14194"/>
    </w:p>
    <w:p>
      <w:pPr>
        <w:spacing w:line="600" w:lineRule="exact"/>
        <w:ind w:firstLine="643" w:firstLineChars="200"/>
        <w:outlineLvl w:val="2"/>
        <w:rPr>
          <w:rFonts w:ascii="仿宋_GB2312" w:eastAsia="仿宋_GB2312"/>
          <w:b/>
          <w:color w:val="000000"/>
          <w:sz w:val="32"/>
          <w:szCs w:val="32"/>
        </w:rPr>
      </w:pPr>
      <w:r>
        <w:rPr>
          <w:rFonts w:hint="eastAsia" w:ascii="仿宋_GB2312" w:eastAsia="仿宋_GB2312"/>
          <w:b/>
          <w:color w:val="000000"/>
          <w:sz w:val="32"/>
          <w:szCs w:val="32"/>
        </w:rPr>
        <w:t>（三）一般公共预算财政拨款支出决算具体情况</w:t>
      </w:r>
      <w:bookmarkEnd w:id="62"/>
      <w:bookmarkEnd w:id="63"/>
      <w:bookmarkEnd w:id="64"/>
    </w:p>
    <w:p>
      <w:pPr>
        <w:spacing w:line="600" w:lineRule="exact"/>
        <w:ind w:firstLine="643" w:firstLineChars="200"/>
        <w:rPr>
          <w:rFonts w:ascii="仿宋_GB2312" w:eastAsia="仿宋_GB2312"/>
          <w:b/>
          <w:bCs/>
          <w:sz w:val="32"/>
          <w:szCs w:val="32"/>
        </w:rPr>
      </w:pPr>
      <w:bookmarkStart w:id="65" w:name="_Toc15377213"/>
      <w:bookmarkStart w:id="66" w:name="_Toc15377444"/>
      <w:bookmarkStart w:id="67" w:name="_Toc15378460"/>
      <w:r>
        <w:rPr>
          <w:rFonts w:hint="eastAsia" w:ascii="仿宋_GB2312" w:eastAsia="仿宋_GB2312"/>
          <w:b/>
          <w:bCs/>
          <w:sz w:val="32"/>
          <w:szCs w:val="32"/>
        </w:rPr>
        <w:t>2020年一般公共预算支出决算数为71.08，完成预算100%。其中：</w:t>
      </w:r>
      <w:bookmarkEnd w:id="65"/>
      <w:bookmarkEnd w:id="66"/>
      <w:bookmarkEnd w:id="67"/>
    </w:p>
    <w:p>
      <w:pPr>
        <w:spacing w:line="600" w:lineRule="exact"/>
        <w:ind w:firstLine="643" w:firstLineChars="200"/>
        <w:rPr>
          <w:rFonts w:ascii="仿宋_GB2312" w:eastAsia="仿宋_GB2312"/>
          <w:b/>
          <w:color w:val="000000"/>
          <w:sz w:val="32"/>
          <w:szCs w:val="32"/>
        </w:rPr>
      </w:pPr>
      <w:r>
        <w:rPr>
          <w:rStyle w:val="20"/>
          <w:rFonts w:hint="eastAsia" w:ascii="仿宋_GB2312" w:eastAsia="仿宋_GB2312"/>
          <w:bCs/>
          <w:color w:val="000000"/>
          <w:sz w:val="32"/>
          <w:szCs w:val="32"/>
        </w:rPr>
        <w:t>1.一般公共服务（类）政府办公厅（室）及相关机构事务（款）事业运行（项）:</w:t>
      </w:r>
      <w:r>
        <w:rPr>
          <w:rStyle w:val="20"/>
          <w:rFonts w:hint="eastAsia" w:ascii="仿宋_GB2312" w:eastAsia="仿宋_GB2312"/>
          <w:b w:val="0"/>
          <w:bCs/>
          <w:color w:val="000000"/>
          <w:sz w:val="32"/>
          <w:szCs w:val="32"/>
        </w:rPr>
        <w:t xml:space="preserve"> 支出决算为54.66万元，完成预算100%。</w:t>
      </w:r>
    </w:p>
    <w:p>
      <w:pPr>
        <w:spacing w:line="600" w:lineRule="exact"/>
        <w:ind w:firstLine="643" w:firstLineChars="200"/>
        <w:rPr>
          <w:rStyle w:val="20"/>
          <w:rFonts w:ascii="仿宋_GB2312" w:eastAsia="仿宋_GB2312"/>
          <w:b w:val="0"/>
          <w:bCs/>
          <w:color w:val="000000"/>
          <w:sz w:val="32"/>
          <w:szCs w:val="32"/>
        </w:rPr>
      </w:pPr>
      <w:r>
        <w:rPr>
          <w:rStyle w:val="20"/>
          <w:rFonts w:hint="eastAsia" w:ascii="仿宋_GB2312" w:eastAsia="仿宋_GB2312"/>
          <w:bCs/>
          <w:color w:val="000000"/>
          <w:sz w:val="32"/>
          <w:szCs w:val="32"/>
        </w:rPr>
        <w:t>2.社会保障和就业（类）行政事业单位养老支出（款）  机关事业单位基本养老保险缴费支出（项）:</w:t>
      </w:r>
      <w:r>
        <w:rPr>
          <w:rStyle w:val="20"/>
          <w:rFonts w:hint="eastAsia" w:ascii="仿宋_GB2312" w:eastAsia="仿宋_GB2312"/>
          <w:b w:val="0"/>
          <w:bCs/>
          <w:color w:val="000000"/>
          <w:sz w:val="32"/>
          <w:szCs w:val="32"/>
        </w:rPr>
        <w:t xml:space="preserve"> 支出决算为5.08万元，完成预算100%。</w:t>
      </w:r>
    </w:p>
    <w:p>
      <w:pPr>
        <w:spacing w:line="600" w:lineRule="exact"/>
        <w:ind w:firstLine="643" w:firstLineChars="200"/>
        <w:rPr>
          <w:rStyle w:val="20"/>
          <w:rFonts w:ascii="仿宋_GB2312" w:eastAsia="仿宋_GB2312"/>
          <w:b w:val="0"/>
          <w:bCs/>
          <w:color w:val="000000"/>
          <w:sz w:val="32"/>
          <w:szCs w:val="32"/>
        </w:rPr>
      </w:pPr>
      <w:r>
        <w:rPr>
          <w:rStyle w:val="20"/>
          <w:rFonts w:hint="eastAsia" w:ascii="仿宋_GB2312" w:eastAsia="仿宋_GB2312"/>
          <w:bCs/>
          <w:color w:val="000000"/>
          <w:sz w:val="32"/>
          <w:szCs w:val="32"/>
        </w:rPr>
        <w:t>3.社会保障和就业（类）行政事业单位养老支出（款）  机关事业单位职业年金缴费支出（项）:</w:t>
      </w:r>
      <w:r>
        <w:rPr>
          <w:rStyle w:val="20"/>
          <w:rFonts w:hint="eastAsia" w:ascii="仿宋_GB2312" w:eastAsia="仿宋_GB2312"/>
          <w:b w:val="0"/>
          <w:bCs/>
          <w:color w:val="000000"/>
          <w:sz w:val="32"/>
          <w:szCs w:val="32"/>
        </w:rPr>
        <w:t xml:space="preserve"> 支出决算为2.24万元，完成预算100%。</w:t>
      </w:r>
    </w:p>
    <w:p>
      <w:pPr>
        <w:spacing w:line="600" w:lineRule="exact"/>
        <w:ind w:firstLine="643" w:firstLineChars="200"/>
        <w:rPr>
          <w:rStyle w:val="20"/>
          <w:rFonts w:ascii="仿宋_GB2312" w:eastAsia="仿宋_GB2312"/>
          <w:b w:val="0"/>
          <w:bCs/>
          <w:color w:val="000000"/>
          <w:sz w:val="32"/>
          <w:szCs w:val="32"/>
        </w:rPr>
      </w:pPr>
      <w:r>
        <w:rPr>
          <w:rStyle w:val="20"/>
          <w:rFonts w:hint="eastAsia" w:ascii="仿宋_GB2312" w:eastAsia="仿宋_GB2312"/>
          <w:bCs/>
          <w:color w:val="000000"/>
          <w:sz w:val="32"/>
          <w:szCs w:val="32"/>
        </w:rPr>
        <w:t>4.</w:t>
      </w:r>
      <w:r>
        <w:rPr>
          <w:rFonts w:hint="eastAsia" w:ascii="仿宋_GB2312" w:eastAsia="仿宋_GB2312"/>
          <w:b/>
          <w:bCs/>
          <w:color w:val="000000"/>
          <w:sz w:val="32"/>
          <w:szCs w:val="32"/>
        </w:rPr>
        <w:t>卫生健康</w:t>
      </w:r>
      <w:r>
        <w:rPr>
          <w:rStyle w:val="20"/>
          <w:rFonts w:hint="eastAsia" w:ascii="仿宋_GB2312" w:eastAsia="仿宋_GB2312"/>
          <w:bCs/>
          <w:color w:val="000000"/>
          <w:sz w:val="32"/>
          <w:szCs w:val="32"/>
        </w:rPr>
        <w:t>（类）行政事业单位医疗（款）事业单位医疗（项）:</w:t>
      </w:r>
      <w:r>
        <w:rPr>
          <w:rStyle w:val="20"/>
          <w:rFonts w:hint="eastAsia" w:ascii="仿宋_GB2312" w:eastAsia="仿宋_GB2312"/>
          <w:b w:val="0"/>
          <w:bCs/>
          <w:color w:val="000000"/>
          <w:sz w:val="32"/>
          <w:szCs w:val="32"/>
        </w:rPr>
        <w:t>支出决算为3.24万元，完成预算100%。</w:t>
      </w:r>
    </w:p>
    <w:p>
      <w:pPr>
        <w:spacing w:line="600" w:lineRule="exact"/>
        <w:ind w:firstLine="643" w:firstLineChars="200"/>
        <w:rPr>
          <w:rStyle w:val="20"/>
          <w:rFonts w:ascii="仿宋_GB2312" w:eastAsia="仿宋_GB2312"/>
          <w:b w:val="0"/>
          <w:bCs/>
          <w:color w:val="000000"/>
          <w:sz w:val="32"/>
          <w:szCs w:val="32"/>
        </w:rPr>
      </w:pPr>
      <w:r>
        <w:rPr>
          <w:rStyle w:val="20"/>
          <w:rFonts w:hint="eastAsia" w:ascii="仿宋_GB2312" w:eastAsia="仿宋_GB2312"/>
          <w:bCs/>
          <w:color w:val="000000"/>
          <w:sz w:val="32"/>
          <w:szCs w:val="32"/>
        </w:rPr>
        <w:t>5.</w:t>
      </w:r>
      <w:r>
        <w:rPr>
          <w:rFonts w:hint="eastAsia" w:ascii="仿宋_GB2312" w:eastAsia="仿宋_GB2312"/>
          <w:b/>
          <w:bCs/>
          <w:color w:val="000000"/>
          <w:sz w:val="32"/>
          <w:szCs w:val="32"/>
        </w:rPr>
        <w:t>卫生健康</w:t>
      </w:r>
      <w:r>
        <w:rPr>
          <w:rStyle w:val="20"/>
          <w:rFonts w:hint="eastAsia" w:ascii="仿宋_GB2312" w:eastAsia="仿宋_GB2312"/>
          <w:bCs/>
          <w:color w:val="000000"/>
          <w:sz w:val="32"/>
          <w:szCs w:val="32"/>
        </w:rPr>
        <w:t>（类）行政事业单位医疗（款）其他行政事业单位医疗支出（项）:</w:t>
      </w:r>
      <w:r>
        <w:rPr>
          <w:rStyle w:val="20"/>
          <w:rFonts w:hint="eastAsia" w:ascii="仿宋_GB2312" w:eastAsia="仿宋_GB2312"/>
          <w:b w:val="0"/>
          <w:bCs/>
          <w:color w:val="000000"/>
          <w:sz w:val="32"/>
          <w:szCs w:val="32"/>
        </w:rPr>
        <w:t>支出决算为0.59万元，完成预算100%。</w:t>
      </w:r>
    </w:p>
    <w:p>
      <w:pPr>
        <w:spacing w:line="600" w:lineRule="exact"/>
        <w:ind w:firstLine="643" w:firstLineChars="200"/>
        <w:rPr>
          <w:rStyle w:val="20"/>
          <w:rFonts w:ascii="仿宋_GB2312" w:eastAsia="仿宋_GB2312"/>
          <w:b w:val="0"/>
          <w:bCs/>
          <w:color w:val="000000"/>
          <w:sz w:val="32"/>
          <w:szCs w:val="32"/>
        </w:rPr>
      </w:pPr>
      <w:r>
        <w:rPr>
          <w:rStyle w:val="20"/>
          <w:rFonts w:hint="eastAsia" w:ascii="仿宋_GB2312" w:eastAsia="仿宋_GB2312"/>
          <w:bCs/>
          <w:color w:val="000000"/>
          <w:sz w:val="32"/>
          <w:szCs w:val="32"/>
        </w:rPr>
        <w:t>6.</w:t>
      </w:r>
      <w:r>
        <w:rPr>
          <w:rFonts w:hint="eastAsia" w:ascii="仿宋_GB2312" w:eastAsia="仿宋_GB2312"/>
          <w:b/>
          <w:bCs/>
          <w:color w:val="000000"/>
          <w:sz w:val="32"/>
          <w:szCs w:val="32"/>
        </w:rPr>
        <w:t>住房保障支出</w:t>
      </w:r>
      <w:r>
        <w:rPr>
          <w:rStyle w:val="20"/>
          <w:rFonts w:hint="eastAsia" w:ascii="仿宋_GB2312" w:eastAsia="仿宋_GB2312"/>
          <w:bCs/>
          <w:color w:val="000000"/>
          <w:sz w:val="32"/>
          <w:szCs w:val="32"/>
        </w:rPr>
        <w:t>（类）住房改革支出（款）住房公积金（项）:</w:t>
      </w:r>
      <w:r>
        <w:rPr>
          <w:rStyle w:val="20"/>
          <w:rFonts w:hint="eastAsia" w:ascii="仿宋_GB2312" w:eastAsia="仿宋_GB2312"/>
          <w:b w:val="0"/>
          <w:bCs/>
          <w:color w:val="000000"/>
          <w:sz w:val="32"/>
          <w:szCs w:val="32"/>
        </w:rPr>
        <w:t>支出决算为5.27万元，完成预算100%。</w:t>
      </w:r>
    </w:p>
    <w:p>
      <w:pPr>
        <w:spacing w:line="600" w:lineRule="exact"/>
        <w:ind w:firstLine="643" w:firstLineChars="200"/>
        <w:rPr>
          <w:rFonts w:ascii="仿宋_GB2312" w:eastAsia="仿宋_GB2312"/>
          <w:b/>
          <w:color w:val="FF0000"/>
          <w:sz w:val="32"/>
          <w:szCs w:val="32"/>
        </w:rPr>
      </w:pPr>
      <w:r>
        <w:rPr>
          <w:rFonts w:hint="eastAsia" w:ascii="仿宋_GB2312" w:eastAsia="仿宋_GB2312"/>
          <w:b/>
          <w:color w:val="FF0000"/>
          <w:sz w:val="32"/>
          <w:szCs w:val="32"/>
        </w:rPr>
        <w:t>（注：数据来源于财决Z01-1表，罗列全部功能分类科目至项级。上述“预算”口径为调整预算数。增减变动原因为决算数&lt;项级&gt;和调整预算数&lt;项级&gt;比较，与预算数持平可以不写原因。）</w:t>
      </w:r>
    </w:p>
    <w:p>
      <w:pPr>
        <w:tabs>
          <w:tab w:val="right" w:pos="8306"/>
        </w:tabs>
        <w:spacing w:line="600" w:lineRule="exact"/>
        <w:ind w:firstLine="640"/>
        <w:outlineLvl w:val="1"/>
        <w:rPr>
          <w:rStyle w:val="23"/>
          <w:rFonts w:ascii="仿宋_GB2312" w:eastAsia="仿宋_GB2312"/>
        </w:rPr>
      </w:pPr>
      <w:bookmarkStart w:id="68" w:name="_Toc18934"/>
      <w:bookmarkStart w:id="69" w:name="_Toc15396608"/>
      <w:bookmarkStart w:id="70" w:name="_Toc15377214"/>
      <w:bookmarkStart w:id="71" w:name="_Toc79163618"/>
      <w:r>
        <w:rPr>
          <w:rFonts w:hint="eastAsia" w:ascii="仿宋_GB2312" w:eastAsia="仿宋_GB2312"/>
          <w:color w:val="000000"/>
          <w:sz w:val="32"/>
          <w:szCs w:val="32"/>
        </w:rPr>
        <w:t>六</w:t>
      </w:r>
      <w:r>
        <w:rPr>
          <w:rFonts w:hint="eastAsia" w:ascii="仿宋_GB2312" w:eastAsia="仿宋_GB2312"/>
          <w:b/>
          <w:color w:val="000000"/>
          <w:sz w:val="32"/>
          <w:szCs w:val="32"/>
        </w:rPr>
        <w:t>、一</w:t>
      </w:r>
      <w:r>
        <w:rPr>
          <w:rStyle w:val="23"/>
          <w:rFonts w:hint="eastAsia" w:ascii="仿宋_GB2312" w:eastAsia="仿宋_GB2312"/>
          <w:b w:val="0"/>
        </w:rPr>
        <w:t>般公共预算财政拨款基本支出决算情况说明</w:t>
      </w:r>
      <w:bookmarkEnd w:id="68"/>
      <w:bookmarkEnd w:id="69"/>
      <w:bookmarkEnd w:id="70"/>
      <w:bookmarkEnd w:id="71"/>
      <w:r>
        <w:rPr>
          <w:rStyle w:val="23"/>
          <w:rFonts w:hint="eastAsia" w:ascii="仿宋_GB2312" w:eastAsia="仿宋_GB2312"/>
          <w:b w:val="0"/>
        </w:rPr>
        <w:tab/>
      </w:r>
    </w:p>
    <w:p>
      <w:pPr>
        <w:spacing w:line="600" w:lineRule="exact"/>
        <w:ind w:firstLine="645"/>
        <w:rPr>
          <w:rFonts w:ascii="仿宋_GB2312" w:eastAsia="仿宋_GB2312"/>
          <w:color w:val="000000"/>
          <w:sz w:val="32"/>
          <w:szCs w:val="32"/>
        </w:rPr>
      </w:pPr>
      <w:r>
        <w:rPr>
          <w:rFonts w:hint="eastAsia" w:ascii="仿宋_GB2312" w:eastAsia="仿宋_GB2312"/>
          <w:color w:val="000000"/>
          <w:sz w:val="32"/>
          <w:szCs w:val="32"/>
        </w:rPr>
        <w:t>2020年一般公共预算财政拨款基本支出71.08万元，其中：</w:t>
      </w:r>
    </w:p>
    <w:p>
      <w:pPr>
        <w:spacing w:line="600" w:lineRule="exact"/>
        <w:ind w:firstLine="645"/>
        <w:rPr>
          <w:rFonts w:ascii="仿宋_GB2312" w:eastAsia="仿宋_GB2312"/>
          <w:color w:val="000000"/>
          <w:sz w:val="32"/>
          <w:szCs w:val="32"/>
        </w:rPr>
      </w:pPr>
      <w:r>
        <w:rPr>
          <w:rFonts w:hint="eastAsia" w:ascii="仿宋_GB2312" w:eastAsia="仿宋_GB2312"/>
          <w:color w:val="000000"/>
          <w:sz w:val="32"/>
          <w:szCs w:val="32"/>
        </w:rPr>
        <w:t>人员经费57.20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hint="eastAsia" w:ascii="仿宋_GB2312" w:eastAsia="仿宋_GB2312"/>
          <w:color w:val="000000"/>
          <w:sz w:val="32"/>
          <w:szCs w:val="32"/>
        </w:rPr>
        <w:br w:type="textWrapping"/>
      </w:r>
      <w:r>
        <w:rPr>
          <w:rFonts w:hint="eastAsia" w:ascii="仿宋_GB2312" w:eastAsia="仿宋_GB2312"/>
          <w:color w:val="000000"/>
          <w:sz w:val="32"/>
          <w:szCs w:val="32"/>
        </w:rPr>
        <w:t>　　日常公用经费13.89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5"/>
        <w:rPr>
          <w:rFonts w:ascii="仿宋_GB2312" w:eastAsia="仿宋_GB2312"/>
          <w:b/>
          <w:color w:val="FF0000"/>
          <w:sz w:val="32"/>
          <w:szCs w:val="32"/>
        </w:rPr>
      </w:pPr>
      <w:r>
        <w:rPr>
          <w:rFonts w:hint="eastAsia" w:ascii="仿宋_GB2312" w:eastAsia="仿宋_GB2312"/>
          <w:b/>
          <w:color w:val="FF0000"/>
          <w:sz w:val="32"/>
          <w:szCs w:val="32"/>
        </w:rPr>
        <w:t>（注：数据来源于财决07表，根据本部门实际支出情况罗列全部经济分类科目。）</w:t>
      </w:r>
    </w:p>
    <w:p>
      <w:pPr>
        <w:spacing w:line="600" w:lineRule="exact"/>
        <w:ind w:firstLine="640"/>
        <w:outlineLvl w:val="1"/>
        <w:rPr>
          <w:rStyle w:val="23"/>
          <w:rFonts w:ascii="仿宋_GB2312" w:eastAsia="仿宋_GB2312"/>
          <w:b w:val="0"/>
        </w:rPr>
      </w:pPr>
      <w:bookmarkStart w:id="72" w:name="_Toc15377215"/>
      <w:bookmarkStart w:id="73" w:name="_Toc15396609"/>
      <w:bookmarkStart w:id="74" w:name="_Toc79163619"/>
      <w:bookmarkStart w:id="75" w:name="_Toc31556"/>
      <w:r>
        <w:rPr>
          <w:rFonts w:hint="eastAsia" w:ascii="仿宋_GB2312" w:eastAsia="仿宋_GB2312"/>
          <w:color w:val="000000"/>
          <w:sz w:val="32"/>
          <w:szCs w:val="32"/>
        </w:rPr>
        <w:t>七、</w:t>
      </w:r>
      <w:r>
        <w:rPr>
          <w:rStyle w:val="23"/>
          <w:rFonts w:hint="eastAsia" w:ascii="仿宋_GB2312" w:eastAsia="仿宋_GB2312"/>
        </w:rPr>
        <w:t>“</w:t>
      </w:r>
      <w:r>
        <w:rPr>
          <w:rStyle w:val="23"/>
          <w:rFonts w:hint="eastAsia" w:ascii="仿宋_GB2312" w:eastAsia="仿宋_GB2312"/>
          <w:b w:val="0"/>
        </w:rPr>
        <w:t>三公”经费财政拨款支出决算情况说明</w:t>
      </w:r>
      <w:bookmarkEnd w:id="72"/>
      <w:bookmarkEnd w:id="73"/>
      <w:bookmarkEnd w:id="74"/>
      <w:bookmarkEnd w:id="75"/>
    </w:p>
    <w:p>
      <w:pPr>
        <w:spacing w:line="600" w:lineRule="exact"/>
        <w:ind w:firstLine="640"/>
        <w:outlineLvl w:val="2"/>
        <w:rPr>
          <w:rFonts w:ascii="仿宋_GB2312" w:eastAsia="仿宋_GB2312"/>
          <w:b/>
          <w:color w:val="000000"/>
          <w:sz w:val="32"/>
          <w:szCs w:val="32"/>
        </w:rPr>
      </w:pPr>
      <w:bookmarkStart w:id="76" w:name="_Toc27389"/>
      <w:bookmarkStart w:id="77" w:name="_Toc79163620"/>
      <w:bookmarkStart w:id="78" w:name="_Toc15377216"/>
      <w:r>
        <w:rPr>
          <w:rFonts w:hint="eastAsia" w:ascii="仿宋_GB2312" w:eastAsia="仿宋_GB2312"/>
          <w:b/>
          <w:color w:val="000000"/>
          <w:sz w:val="32"/>
          <w:szCs w:val="32"/>
        </w:rPr>
        <w:t>（一）“三公”经费财政拨款支出决算总体情况说明</w:t>
      </w:r>
      <w:bookmarkEnd w:id="76"/>
      <w:bookmarkEnd w:id="77"/>
      <w:bookmarkEnd w:id="78"/>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2020年“三公”经费财政拨款支出决算为0万元，完成预算0%。</w:t>
      </w:r>
    </w:p>
    <w:p>
      <w:pPr>
        <w:spacing w:line="600" w:lineRule="exact"/>
        <w:ind w:firstLine="640"/>
        <w:rPr>
          <w:rFonts w:ascii="仿宋_GB2312" w:eastAsia="仿宋_GB2312"/>
          <w:b/>
          <w:color w:val="FF0000"/>
          <w:sz w:val="32"/>
          <w:szCs w:val="32"/>
        </w:rPr>
      </w:pPr>
      <w:r>
        <w:rPr>
          <w:rFonts w:hint="eastAsia" w:ascii="仿宋_GB2312" w:eastAsia="仿宋_GB2312"/>
          <w:b/>
          <w:color w:val="FF0000"/>
          <w:sz w:val="32"/>
          <w:szCs w:val="32"/>
        </w:rPr>
        <w:t>（注：上述“预算”口径为调整预算数，包括政府性基金支出决算情况。）</w:t>
      </w:r>
    </w:p>
    <w:p>
      <w:pPr>
        <w:spacing w:line="600" w:lineRule="exact"/>
        <w:ind w:firstLine="640"/>
        <w:outlineLvl w:val="2"/>
        <w:rPr>
          <w:rFonts w:ascii="仿宋_GB2312" w:eastAsia="仿宋_GB2312"/>
          <w:b/>
          <w:color w:val="000000"/>
          <w:sz w:val="32"/>
          <w:szCs w:val="32"/>
        </w:rPr>
      </w:pPr>
      <w:bookmarkStart w:id="79" w:name="_Toc5722"/>
      <w:bookmarkStart w:id="80" w:name="_Toc79163621"/>
      <w:bookmarkStart w:id="81" w:name="_Toc15377217"/>
      <w:r>
        <w:rPr>
          <w:rFonts w:hint="eastAsia" w:ascii="仿宋_GB2312" w:eastAsia="仿宋_GB2312"/>
          <w:b/>
          <w:color w:val="000000"/>
          <w:sz w:val="32"/>
          <w:szCs w:val="32"/>
        </w:rPr>
        <w:t>（二）“三公”经费财政拨款支出决算具体情况说明</w:t>
      </w:r>
      <w:bookmarkEnd w:id="79"/>
      <w:bookmarkEnd w:id="80"/>
      <w:bookmarkEnd w:id="81"/>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2020年“三公”经费财政拨款支出决算中，因公出国（境）费支出决算0万元，占0%；公务用车购置及运行维护费支出决算0万元，占0%；公务接待费支出决算**万元，占0%。具体情况如下：</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（图7：“三公”经费财政拨款支出结构）（饼状图）</w:t>
      </w:r>
    </w:p>
    <w:p>
      <w:pPr>
        <w:spacing w:line="600" w:lineRule="exact"/>
        <w:ind w:firstLine="640"/>
        <w:rPr>
          <w:rFonts w:ascii="仿宋_GB2312" w:eastAsia="仿宋_GB2312"/>
          <w:b/>
          <w:color w:val="000000"/>
          <w:sz w:val="32"/>
          <w:szCs w:val="32"/>
        </w:rPr>
      </w:pPr>
      <w:r>
        <w:rPr>
          <w:rFonts w:hint="eastAsia" w:ascii="仿宋_GB2312" w:eastAsia="仿宋_GB2312"/>
          <w:b/>
          <w:color w:val="000000"/>
          <w:sz w:val="32"/>
          <w:szCs w:val="32"/>
        </w:rPr>
        <w:t>1.因公出国（境）经费支出</w:t>
      </w:r>
      <w:r>
        <w:rPr>
          <w:rFonts w:hint="eastAsia" w:ascii="仿宋_GB2312" w:eastAsia="仿宋_GB2312"/>
          <w:color w:val="000000"/>
          <w:sz w:val="32"/>
          <w:szCs w:val="32"/>
        </w:rPr>
        <w:t>0万元，</w:t>
      </w:r>
      <w:r>
        <w:rPr>
          <w:rStyle w:val="20"/>
          <w:rFonts w:hint="eastAsia" w:ascii="仿宋_GB2312" w:eastAsia="仿宋_GB2312"/>
          <w:b w:val="0"/>
          <w:bCs/>
          <w:color w:val="000000"/>
          <w:sz w:val="32"/>
          <w:szCs w:val="32"/>
        </w:rPr>
        <w:t>完成预算0%。</w:t>
      </w:r>
      <w:r>
        <w:rPr>
          <w:rFonts w:hint="eastAsia" w:ascii="仿宋_GB2312" w:eastAsia="仿宋_GB2312"/>
          <w:color w:val="000000"/>
          <w:sz w:val="32"/>
          <w:szCs w:val="32"/>
        </w:rPr>
        <w:t>全年安排因公出国（境）团组0次，出国（境）0人。因公出国（境）支出决算比2019年增加/减少0万元，增长/下降0%。</w:t>
      </w:r>
    </w:p>
    <w:p>
      <w:pPr>
        <w:spacing w:line="600" w:lineRule="exact"/>
        <w:ind w:firstLine="640"/>
        <w:rPr>
          <w:rFonts w:ascii="仿宋_GB2312" w:eastAsia="仿宋_GB2312"/>
          <w:b/>
          <w:color w:val="000000"/>
          <w:sz w:val="32"/>
          <w:szCs w:val="32"/>
        </w:rPr>
      </w:pPr>
      <w:r>
        <w:rPr>
          <w:rFonts w:hint="eastAsia" w:ascii="仿宋_GB2312" w:eastAsia="仿宋_GB2312"/>
          <w:b/>
          <w:color w:val="000000"/>
          <w:sz w:val="32"/>
          <w:szCs w:val="32"/>
        </w:rPr>
        <w:t>2.公务用车购置及运行维护费支出</w:t>
      </w:r>
      <w:r>
        <w:rPr>
          <w:rFonts w:hint="eastAsia" w:ascii="仿宋_GB2312" w:eastAsia="仿宋_GB2312"/>
          <w:color w:val="000000"/>
          <w:sz w:val="32"/>
          <w:szCs w:val="32"/>
        </w:rPr>
        <w:t>0万元,</w:t>
      </w:r>
      <w:r>
        <w:rPr>
          <w:rStyle w:val="20"/>
          <w:rFonts w:hint="eastAsia" w:ascii="仿宋_GB2312" w:eastAsia="仿宋_GB2312"/>
          <w:b w:val="0"/>
          <w:bCs/>
          <w:color w:val="000000"/>
          <w:sz w:val="32"/>
          <w:szCs w:val="32"/>
        </w:rPr>
        <w:t>完成预算0%。</w:t>
      </w:r>
      <w:r>
        <w:rPr>
          <w:rFonts w:hint="eastAsia" w:ascii="仿宋_GB2312" w:eastAsia="仿宋_GB2312"/>
          <w:color w:val="000000"/>
          <w:sz w:val="32"/>
          <w:szCs w:val="32"/>
        </w:rPr>
        <w:t>公务用车购置及运行维护费支出决算比2019年增加/减少0万元，增长/下降0%。</w:t>
      </w:r>
    </w:p>
    <w:p>
      <w:pPr>
        <w:spacing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rPr>
        <w:t>0万元。全年按规定更新购置公务用车0辆，其中：轿车0辆、金额0万元，越野车0辆、金额0万元，载客汽车0辆、金额0万元。截至2020年12月底，单位共有公务用车0辆，其中：轿车0辆、越野车0辆、载客汽车0辆。</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rPr>
        <w:t>0万元。主要用于…（具体工作）等所需的公务用车燃料费、维修费、过路过桥费、保险费等支出。</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3.公务接待费支出</w:t>
      </w:r>
      <w:r>
        <w:rPr>
          <w:rFonts w:hint="eastAsia" w:ascii="仿宋_GB2312" w:eastAsia="仿宋_GB2312"/>
          <w:color w:val="000000"/>
          <w:sz w:val="32"/>
          <w:szCs w:val="32"/>
        </w:rPr>
        <w:t>0万元，</w:t>
      </w:r>
      <w:r>
        <w:rPr>
          <w:rStyle w:val="20"/>
          <w:rFonts w:hint="eastAsia" w:ascii="仿宋_GB2312" w:eastAsia="仿宋_GB2312"/>
          <w:b w:val="0"/>
          <w:bCs/>
          <w:color w:val="000000"/>
          <w:sz w:val="32"/>
          <w:szCs w:val="32"/>
        </w:rPr>
        <w:t>完成预算0%。</w:t>
      </w:r>
      <w:r>
        <w:rPr>
          <w:rFonts w:hint="eastAsia" w:ascii="仿宋_GB2312" w:eastAsia="仿宋_GB2312"/>
          <w:color w:val="000000"/>
          <w:sz w:val="32"/>
          <w:szCs w:val="32"/>
        </w:rPr>
        <w:t>公务接待费支出决算比2019年增加/减少0万元，增长/下降0%。其中：</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国内公务接待支出</w:t>
      </w:r>
      <w:r>
        <w:rPr>
          <w:rFonts w:hint="eastAsia" w:ascii="仿宋_GB2312" w:eastAsia="仿宋_GB2312"/>
          <w:color w:val="000000"/>
          <w:sz w:val="32"/>
          <w:szCs w:val="32"/>
        </w:rPr>
        <w:t>0万元，主要用于……(执行公务、开展业务活动开支的交通费、住宿费、用餐费等)。国内公务接待0批次，0人次（不包括陪同人员），共计支出0万元，具体内容包括：…（接待具体项目、金额）。</w:t>
      </w:r>
    </w:p>
    <w:p>
      <w:pPr>
        <w:spacing w:line="60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外事接待支出</w:t>
      </w:r>
      <w:r>
        <w:rPr>
          <w:rFonts w:hint="eastAsia" w:ascii="仿宋_GB2312" w:eastAsia="仿宋_GB2312"/>
          <w:color w:val="000000"/>
          <w:sz w:val="32"/>
          <w:szCs w:val="32"/>
        </w:rPr>
        <w:t>0万元，外事接待0批次，0人，共计支出0万元，主要用于接待…（具体项目）。主要用于……</w:t>
      </w:r>
    </w:p>
    <w:p>
      <w:pPr>
        <w:spacing w:line="600" w:lineRule="exact"/>
        <w:ind w:firstLine="640"/>
        <w:outlineLvl w:val="1"/>
        <w:rPr>
          <w:rStyle w:val="23"/>
          <w:rFonts w:ascii="仿宋_GB2312" w:eastAsia="仿宋_GB2312"/>
        </w:rPr>
      </w:pPr>
      <w:bookmarkStart w:id="82" w:name="_Toc79163622"/>
      <w:bookmarkStart w:id="83" w:name="_Toc15377218"/>
      <w:bookmarkStart w:id="84" w:name="_Toc15396610"/>
      <w:bookmarkStart w:id="85" w:name="_Toc21592"/>
      <w:r>
        <w:rPr>
          <w:rFonts w:hint="eastAsia" w:ascii="仿宋_GB2312" w:eastAsia="仿宋_GB2312"/>
          <w:color w:val="000000"/>
          <w:sz w:val="32"/>
          <w:szCs w:val="32"/>
        </w:rPr>
        <w:t>八、</w:t>
      </w:r>
      <w:r>
        <w:rPr>
          <w:rStyle w:val="23"/>
          <w:rFonts w:hint="eastAsia" w:ascii="仿宋_GB2312" w:eastAsia="仿宋_GB2312"/>
          <w:b w:val="0"/>
        </w:rPr>
        <w:t>政府性基金预算支出决算情况说明</w:t>
      </w:r>
      <w:bookmarkEnd w:id="82"/>
      <w:bookmarkEnd w:id="83"/>
      <w:bookmarkEnd w:id="84"/>
      <w:bookmarkEnd w:id="85"/>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2020年政府性基金预算拨款支出0万元。</w:t>
      </w:r>
    </w:p>
    <w:p>
      <w:pPr>
        <w:numPr>
          <w:ilvl w:val="0"/>
          <w:numId w:val="1"/>
        </w:numPr>
        <w:spacing w:line="600" w:lineRule="exact"/>
        <w:ind w:left="0" w:firstLine="640"/>
        <w:outlineLvl w:val="1"/>
        <w:rPr>
          <w:rStyle w:val="23"/>
          <w:rFonts w:ascii="仿宋_GB2312" w:eastAsia="仿宋_GB2312"/>
          <w:b w:val="0"/>
        </w:rPr>
      </w:pPr>
      <w:bookmarkStart w:id="86" w:name="_Toc2824"/>
      <w:bookmarkStart w:id="87" w:name="_Toc15396611"/>
      <w:bookmarkStart w:id="88" w:name="_Toc15377219"/>
      <w:bookmarkStart w:id="89" w:name="_Toc79163623"/>
      <w:r>
        <w:rPr>
          <w:rStyle w:val="23"/>
          <w:rFonts w:hint="eastAsia" w:ascii="仿宋_GB2312" w:eastAsia="仿宋_GB2312"/>
          <w:b w:val="0"/>
        </w:rPr>
        <w:t>国有资本经营预算支出决算情况说明</w:t>
      </w:r>
      <w:bookmarkEnd w:id="86"/>
      <w:bookmarkEnd w:id="87"/>
      <w:bookmarkEnd w:id="88"/>
      <w:bookmarkEnd w:id="89"/>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2020年国有资本经营预算拨款支出0万元。</w:t>
      </w:r>
    </w:p>
    <w:p>
      <w:pPr>
        <w:spacing w:line="600" w:lineRule="exact"/>
        <w:ind w:firstLine="640" w:firstLineChars="200"/>
        <w:outlineLvl w:val="1"/>
        <w:rPr>
          <w:rStyle w:val="23"/>
          <w:rFonts w:ascii="仿宋_GB2312" w:eastAsia="仿宋_GB2312"/>
        </w:rPr>
      </w:pPr>
      <w:bookmarkStart w:id="90" w:name="_Toc15377221"/>
      <w:bookmarkStart w:id="91" w:name="_Toc79163624"/>
      <w:bookmarkStart w:id="92" w:name="_Toc15396612"/>
      <w:bookmarkStart w:id="93" w:name="_Toc16942"/>
      <w:r>
        <w:rPr>
          <w:rFonts w:hint="eastAsia" w:ascii="仿宋_GB2312" w:eastAsia="仿宋_GB2312"/>
          <w:color w:val="000000"/>
          <w:sz w:val="32"/>
          <w:szCs w:val="32"/>
        </w:rPr>
        <w:t>十</w:t>
      </w:r>
      <w:r>
        <w:rPr>
          <w:rStyle w:val="23"/>
          <w:rFonts w:hint="eastAsia" w:ascii="仿宋_GB2312" w:eastAsia="仿宋_GB2312"/>
        </w:rPr>
        <w:t>、</w:t>
      </w:r>
      <w:r>
        <w:rPr>
          <w:rStyle w:val="23"/>
          <w:rFonts w:hint="eastAsia" w:ascii="仿宋_GB2312" w:eastAsia="仿宋_GB2312"/>
          <w:b w:val="0"/>
        </w:rPr>
        <w:t>其他重要事项的情况说明</w:t>
      </w:r>
      <w:bookmarkEnd w:id="90"/>
      <w:bookmarkEnd w:id="91"/>
      <w:bookmarkEnd w:id="92"/>
      <w:bookmarkEnd w:id="93"/>
    </w:p>
    <w:p>
      <w:pPr>
        <w:spacing w:line="600" w:lineRule="exact"/>
        <w:ind w:firstLine="643" w:firstLineChars="200"/>
        <w:outlineLvl w:val="2"/>
        <w:rPr>
          <w:rFonts w:ascii="仿宋_GB2312" w:eastAsia="仿宋_GB2312"/>
          <w:color w:val="000000"/>
          <w:sz w:val="32"/>
          <w:szCs w:val="32"/>
        </w:rPr>
      </w:pPr>
      <w:bookmarkStart w:id="94" w:name="_Toc79163625"/>
      <w:bookmarkStart w:id="95" w:name="_Toc17297"/>
      <w:bookmarkStart w:id="96" w:name="_Toc15377222"/>
      <w:r>
        <w:rPr>
          <w:rFonts w:hint="eastAsia" w:ascii="仿宋_GB2312" w:eastAsia="仿宋_GB2312"/>
          <w:b/>
          <w:color w:val="000000"/>
          <w:sz w:val="32"/>
          <w:szCs w:val="32"/>
        </w:rPr>
        <w:t>（一）机关运行经费支出情况</w:t>
      </w:r>
      <w:bookmarkEnd w:id="94"/>
      <w:bookmarkEnd w:id="95"/>
      <w:bookmarkEnd w:id="96"/>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2020年，0机关运行经费支出0万元，比2019年增加/减少0万元，增长/下降0%（或与2019年决算数持平）。</w:t>
      </w:r>
    </w:p>
    <w:p>
      <w:pPr>
        <w:spacing w:line="600" w:lineRule="exact"/>
        <w:ind w:firstLine="643" w:firstLineChars="200"/>
        <w:rPr>
          <w:rFonts w:ascii="仿宋_GB2312" w:eastAsia="仿宋_GB2312"/>
          <w:b/>
          <w:color w:val="FF0000"/>
          <w:sz w:val="32"/>
          <w:szCs w:val="32"/>
        </w:rPr>
      </w:pPr>
      <w:r>
        <w:rPr>
          <w:rFonts w:hint="eastAsia" w:ascii="仿宋_GB2312" w:eastAsia="仿宋_GB2312"/>
          <w:b/>
          <w:color w:val="FF0000"/>
          <w:sz w:val="32"/>
          <w:szCs w:val="32"/>
        </w:rPr>
        <w:t>（注：数据来源于财决附03表）</w:t>
      </w:r>
    </w:p>
    <w:p>
      <w:pPr>
        <w:autoSpaceDE w:val="0"/>
        <w:autoSpaceDN w:val="0"/>
        <w:adjustRightInd w:val="0"/>
        <w:spacing w:line="600" w:lineRule="exact"/>
        <w:ind w:firstLine="643" w:firstLineChars="200"/>
        <w:jc w:val="left"/>
        <w:outlineLvl w:val="2"/>
        <w:rPr>
          <w:rFonts w:ascii="仿宋_GB2312" w:eastAsia="仿宋_GB2312"/>
          <w:b/>
          <w:color w:val="000000"/>
          <w:sz w:val="32"/>
          <w:szCs w:val="32"/>
        </w:rPr>
      </w:pPr>
      <w:bookmarkStart w:id="97" w:name="_Toc79163626"/>
      <w:bookmarkStart w:id="98" w:name="_Toc15377223"/>
      <w:bookmarkStart w:id="99" w:name="_Toc24980"/>
      <w:r>
        <w:rPr>
          <w:rFonts w:hint="eastAsia" w:ascii="仿宋_GB2312" w:eastAsia="仿宋_GB2312"/>
          <w:b/>
          <w:color w:val="000000"/>
          <w:sz w:val="32"/>
          <w:szCs w:val="32"/>
        </w:rPr>
        <w:t>（二）政府采购支出情况</w:t>
      </w:r>
      <w:bookmarkEnd w:id="97"/>
      <w:bookmarkEnd w:id="98"/>
      <w:bookmarkEnd w:id="99"/>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2020年，州机关后勤服务中心采购支出总额0元，其中：政府采购货物支出0元、政府采购工程支出0元、政府采购服务支出0元。主要用于…（具体工作）。授予中小企业合同金额0元，占政府采购支出总额的0，其中：授予小微企业合同金额0元，占政府采购支出总额的0%</w:t>
      </w:r>
    </w:p>
    <w:p>
      <w:pPr>
        <w:spacing w:line="600" w:lineRule="exact"/>
        <w:ind w:firstLine="643" w:firstLineChars="200"/>
        <w:rPr>
          <w:rFonts w:ascii="仿宋_GB2312" w:eastAsia="仿宋_GB2312"/>
          <w:b/>
          <w:color w:val="FF0000"/>
          <w:sz w:val="32"/>
          <w:szCs w:val="32"/>
        </w:rPr>
      </w:pPr>
      <w:r>
        <w:rPr>
          <w:rFonts w:hint="eastAsia" w:ascii="仿宋_GB2312" w:eastAsia="仿宋_GB2312"/>
          <w:b/>
          <w:color w:val="FF0000"/>
          <w:sz w:val="32"/>
          <w:szCs w:val="32"/>
        </w:rPr>
        <w:t>（注：数据来源于财决附03表）</w:t>
      </w:r>
    </w:p>
    <w:p>
      <w:pPr>
        <w:autoSpaceDE w:val="0"/>
        <w:autoSpaceDN w:val="0"/>
        <w:adjustRightInd w:val="0"/>
        <w:spacing w:line="600" w:lineRule="exact"/>
        <w:ind w:firstLine="643" w:firstLineChars="200"/>
        <w:jc w:val="left"/>
        <w:outlineLvl w:val="2"/>
        <w:rPr>
          <w:rFonts w:ascii="仿宋_GB2312" w:eastAsia="仿宋_GB2312"/>
          <w:b/>
          <w:color w:val="000000"/>
          <w:sz w:val="32"/>
          <w:szCs w:val="32"/>
        </w:rPr>
      </w:pPr>
      <w:bookmarkStart w:id="100" w:name="_Toc15377224"/>
      <w:bookmarkStart w:id="101" w:name="_Toc79163627"/>
      <w:bookmarkStart w:id="102" w:name="_Toc7410"/>
      <w:r>
        <w:rPr>
          <w:rFonts w:hint="eastAsia" w:ascii="仿宋_GB2312" w:eastAsia="仿宋_GB2312"/>
          <w:b/>
          <w:color w:val="000000"/>
          <w:sz w:val="32"/>
          <w:szCs w:val="32"/>
        </w:rPr>
        <w:t>（三）国有资产占有使用情况</w:t>
      </w:r>
      <w:bookmarkEnd w:id="100"/>
      <w:bookmarkEnd w:id="101"/>
      <w:bookmarkEnd w:id="102"/>
    </w:p>
    <w:p>
      <w:pPr>
        <w:autoSpaceDE w:val="0"/>
        <w:autoSpaceDN w:val="0"/>
        <w:adjustRightInd w:val="0"/>
        <w:spacing w:line="600" w:lineRule="exact"/>
        <w:ind w:firstLine="640" w:firstLineChars="200"/>
        <w:jc w:val="left"/>
        <w:rPr>
          <w:rFonts w:ascii="仿宋_GB2312" w:eastAsia="仿宋_GB2312"/>
          <w:b/>
          <w:color w:val="FF0000"/>
          <w:sz w:val="32"/>
          <w:szCs w:val="32"/>
        </w:rPr>
      </w:pPr>
      <w:r>
        <w:rPr>
          <w:rFonts w:hint="eastAsia" w:ascii="仿宋_GB2312" w:eastAsia="仿宋_GB2312"/>
          <w:color w:val="000000"/>
          <w:sz w:val="32"/>
          <w:szCs w:val="32"/>
        </w:rPr>
        <w:t>截至2020年12月31日，州机关后勤服务中心共有车辆0，其中：主要领导干部用车0、机要通信用车0、应急保障用车0、其他用车0……其他用车主要是用于……单价50万元以上通用设备0（套），单价100万元以上专用设备0（套）。</w:t>
      </w:r>
      <w:r>
        <w:rPr>
          <w:rFonts w:hint="eastAsia" w:ascii="仿宋_GB2312" w:eastAsia="仿宋_GB2312"/>
          <w:b/>
          <w:color w:val="FF0000"/>
          <w:sz w:val="32"/>
          <w:szCs w:val="32"/>
        </w:rPr>
        <w:t>（注：数据来源财决附03表，按部门决算报表填报数据罗列车辆情况。）</w:t>
      </w:r>
    </w:p>
    <w:p>
      <w:pPr>
        <w:autoSpaceDE w:val="0"/>
        <w:autoSpaceDN w:val="0"/>
        <w:adjustRightInd w:val="0"/>
        <w:spacing w:line="600" w:lineRule="exact"/>
        <w:ind w:firstLine="643" w:firstLineChars="200"/>
        <w:jc w:val="left"/>
        <w:outlineLvl w:val="2"/>
        <w:rPr>
          <w:rFonts w:ascii="仿宋_GB2312" w:eastAsia="仿宋_GB2312"/>
          <w:b/>
          <w:color w:val="000000"/>
          <w:sz w:val="32"/>
          <w:szCs w:val="32"/>
        </w:rPr>
      </w:pPr>
      <w:bookmarkStart w:id="103" w:name="_Toc79163628"/>
      <w:bookmarkStart w:id="104" w:name="_Toc30425"/>
      <w:r>
        <w:rPr>
          <w:rFonts w:hint="eastAsia" w:ascii="仿宋_GB2312" w:eastAsia="仿宋_GB2312"/>
          <w:b/>
          <w:color w:val="000000"/>
          <w:sz w:val="32"/>
          <w:szCs w:val="32"/>
        </w:rPr>
        <w:t>（四）预算绩效管理情况。</w:t>
      </w:r>
      <w:bookmarkEnd w:id="103"/>
      <w:bookmarkEnd w:id="104"/>
    </w:p>
    <w:p>
      <w:pPr>
        <w:spacing w:line="580" w:lineRule="exact"/>
        <w:ind w:firstLine="640" w:firstLineChars="200"/>
        <w:rPr>
          <w:rFonts w:ascii="仿宋_GB2312" w:eastAsia="仿宋_GB2312"/>
          <w:b/>
          <w:color w:val="000000"/>
          <w:sz w:val="32"/>
          <w:szCs w:val="32"/>
        </w:rPr>
      </w:pPr>
      <w:r>
        <w:rPr>
          <w:rFonts w:hint="eastAsia" w:ascii="仿宋_GB2312" w:eastAsia="仿宋_GB2312" w:cs="仿宋_GB2312"/>
          <w:sz w:val="32"/>
          <w:szCs w:val="32"/>
        </w:rPr>
        <w:t>本部门无专项预算项目，因此未组织开展项目支出绩效评价/本部门未组织开展项目支出绩效评价）。</w:t>
      </w:r>
      <w:r>
        <w:rPr>
          <w:rFonts w:hint="eastAsia" w:ascii="仿宋_GB2312" w:eastAsia="仿宋_GB2312"/>
          <w:b/>
          <w:color w:val="000000"/>
          <w:sz w:val="32"/>
          <w:szCs w:val="32"/>
        </w:rPr>
        <w:br w:type="page"/>
      </w:r>
    </w:p>
    <w:p>
      <w:pPr>
        <w:numPr>
          <w:ilvl w:val="0"/>
          <w:numId w:val="2"/>
        </w:numPr>
        <w:spacing w:line="600" w:lineRule="exact"/>
        <w:ind w:left="0" w:firstLine="663" w:firstLineChars="150"/>
        <w:jc w:val="center"/>
        <w:outlineLvl w:val="0"/>
        <w:rPr>
          <w:rStyle w:val="22"/>
          <w:rFonts w:ascii="黑体" w:eastAsia="黑体"/>
          <w:b w:val="0"/>
        </w:rPr>
      </w:pPr>
      <w:bookmarkStart w:id="105" w:name="_Toc8337"/>
      <w:bookmarkStart w:id="106" w:name="_Toc15377225"/>
      <w:bookmarkStart w:id="107" w:name="_Toc79163629"/>
      <w:bookmarkStart w:id="108" w:name="_Toc15396613"/>
      <w:r>
        <w:rPr>
          <w:rStyle w:val="22"/>
          <w:rFonts w:hint="eastAsia" w:ascii="黑体" w:eastAsia="黑体"/>
        </w:rPr>
        <w:t>名</w:t>
      </w:r>
      <w:r>
        <w:rPr>
          <w:rStyle w:val="22"/>
          <w:rFonts w:hint="eastAsia" w:ascii="黑体" w:eastAsia="黑体"/>
          <w:b w:val="0"/>
        </w:rPr>
        <w:t>词解释</w:t>
      </w:r>
      <w:bookmarkEnd w:id="105"/>
      <w:bookmarkEnd w:id="106"/>
      <w:bookmarkEnd w:id="107"/>
      <w:bookmarkEnd w:id="108"/>
    </w:p>
    <w:p>
      <w:pPr>
        <w:spacing w:line="600" w:lineRule="exact"/>
        <w:jc w:val="left"/>
        <w:rPr>
          <w:rFonts w:ascii="宋体"/>
          <w:b/>
          <w:color w:val="000000"/>
          <w:sz w:val="44"/>
          <w:szCs w:val="44"/>
        </w:rPr>
      </w:pPr>
    </w:p>
    <w:p>
      <w:pPr>
        <w:pStyle w:val="27"/>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7"/>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事业收入：指事业单位开展专业业务活动及辅助活动取得的收入。（二级预算单位事业收入情况）等。</w:t>
      </w:r>
    </w:p>
    <w:p>
      <w:pPr>
        <w:pStyle w:val="27"/>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经营收入：指事业单位在专业业务活动及其辅助活动之外开展非独立核算经营活动取得的收入。（二级预算单位经营收入情况）等。</w:t>
      </w:r>
    </w:p>
    <w:p>
      <w:pPr>
        <w:pStyle w:val="27"/>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其他收入：指单位取得的除上述收入以外的各项收入。（收入类型）等。</w:t>
      </w:r>
      <w:r>
        <w:rPr>
          <w:rFonts w:ascii="仿宋_GB2312" w:eastAsia="仿宋_GB2312"/>
          <w:sz w:val="32"/>
          <w:szCs w:val="32"/>
        </w:rPr>
        <w:t xml:space="preserve"> </w:t>
      </w:r>
    </w:p>
    <w:p>
      <w:pPr>
        <w:pStyle w:val="27"/>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使用非财政拨款结余：指事业单位使用以前年度积累的非财政拨款结余弥补当年收支差额的金额。</w:t>
      </w:r>
      <w:r>
        <w:rPr>
          <w:rFonts w:ascii="仿宋_GB2312" w:eastAsia="仿宋_GB2312"/>
          <w:sz w:val="32"/>
          <w:szCs w:val="32"/>
        </w:rPr>
        <w:t xml:space="preserve"> </w:t>
      </w:r>
    </w:p>
    <w:p>
      <w:pPr>
        <w:pStyle w:val="27"/>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7"/>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结余分配：指事业单位按照会计制度规定缴纳的所得税、提取的专用结余以及转入非财政拨款结余的金额等。</w:t>
      </w:r>
    </w:p>
    <w:p>
      <w:pPr>
        <w:pStyle w:val="27"/>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ascii="仿宋_GB2312" w:eastAsia="仿宋_GB2312"/>
          <w:color w:val="000000"/>
          <w:sz w:val="32"/>
          <w:szCs w:val="32"/>
        </w:rPr>
        <w:t>9.</w:t>
      </w:r>
      <w:r>
        <w:rPr>
          <w:rStyle w:val="20"/>
          <w:rFonts w:hint="eastAsia" w:ascii="仿宋_GB2312" w:eastAsia="仿宋_GB2312"/>
          <w:bCs/>
          <w:color w:val="000000"/>
          <w:sz w:val="32"/>
          <w:szCs w:val="32"/>
        </w:rPr>
        <w:t xml:space="preserve"> </w:t>
      </w:r>
      <w:r>
        <w:rPr>
          <w:rFonts w:hint="eastAsia" w:ascii="仿宋_GB2312" w:eastAsia="仿宋_GB2312"/>
          <w:color w:val="000000"/>
          <w:sz w:val="32"/>
          <w:szCs w:val="32"/>
        </w:rPr>
        <w:t>一般公共服务（类）政府办公厅（室）及相关机构事务（款）事业运行（项）：指</w:t>
      </w:r>
      <w:r>
        <w:rPr>
          <w:rFonts w:hint="eastAsia" w:ascii="仿宋_GB2312" w:eastAsia="仿宋_GB2312"/>
          <w:sz w:val="32"/>
          <w:szCs w:val="32"/>
        </w:rPr>
        <w:t>反映事业单位的基本支出</w:t>
      </w:r>
      <w:r>
        <w:rPr>
          <w:rFonts w:hint="eastAsia" w:ascii="仿宋_GB2312" w:eastAsia="仿宋_GB2312"/>
          <w:color w:val="000000"/>
          <w:sz w:val="32"/>
          <w:szCs w:val="32"/>
        </w:rPr>
        <w:t>。</w:t>
      </w:r>
    </w:p>
    <w:p>
      <w:pPr>
        <w:pStyle w:val="27"/>
        <w:spacing w:line="560" w:lineRule="exact"/>
        <w:ind w:firstLine="640" w:firstLineChars="200"/>
        <w:rPr>
          <w:rFonts w:ascii="仿宋_GB2312" w:eastAsia="仿宋_GB2312"/>
          <w:sz w:val="32"/>
          <w:szCs w:val="32"/>
        </w:rPr>
      </w:pPr>
      <w:r>
        <w:rPr>
          <w:rFonts w:hint="eastAsia" w:ascii="仿宋_GB2312" w:eastAsia="仿宋_GB2312"/>
          <w:sz w:val="32"/>
          <w:szCs w:val="32"/>
        </w:rPr>
        <w:t>10.社会保障和就业（类）行政事业单位养老支出（款）机关事业单位基本养老保险缴费支出（项）:指反映机关事业单位实施养老保险制度由单位缴纳的基本养老保险费支出；</w:t>
      </w:r>
    </w:p>
    <w:p>
      <w:pPr>
        <w:pStyle w:val="27"/>
        <w:spacing w:line="560" w:lineRule="exact"/>
        <w:ind w:firstLine="640" w:firstLineChars="200"/>
        <w:rPr>
          <w:rFonts w:ascii="仿宋_GB2312" w:eastAsia="仿宋_GB2312"/>
          <w:sz w:val="32"/>
          <w:szCs w:val="32"/>
        </w:rPr>
      </w:pPr>
      <w:r>
        <w:rPr>
          <w:rFonts w:hint="eastAsia" w:ascii="仿宋_GB2312" w:eastAsia="仿宋_GB2312"/>
          <w:sz w:val="32"/>
          <w:szCs w:val="32"/>
        </w:rPr>
        <w:t>11.社会保障和就业（类）行政事业单位养老支出（款）机关事业单位职业年金缴费支出（项）:指反映机关事业单位实施养老保险制度由单位实际缴纳的职业年金支出。</w:t>
      </w:r>
    </w:p>
    <w:p>
      <w:pPr>
        <w:pStyle w:val="27"/>
        <w:spacing w:line="560" w:lineRule="exact"/>
        <w:ind w:firstLine="640" w:firstLineChars="200"/>
        <w:rPr>
          <w:rFonts w:ascii="仿宋_GB2312" w:eastAsia="仿宋_GB2312"/>
          <w:sz w:val="32"/>
          <w:szCs w:val="32"/>
        </w:rPr>
      </w:pPr>
      <w:r>
        <w:rPr>
          <w:rFonts w:hint="eastAsia" w:ascii="仿宋_GB2312" w:eastAsia="仿宋_GB2312"/>
          <w:sz w:val="32"/>
          <w:szCs w:val="32"/>
        </w:rPr>
        <w:t>12. 卫生健康支出（类）行政事业单位医疗（款）事业单位医疗（项）:指反映财政部门集中</w:t>
      </w:r>
      <w:r>
        <w:rPr>
          <w:rFonts w:hint="eastAsia" w:ascii="仿宋_GB2312" w:eastAsia="仿宋_GB2312"/>
          <w:sz w:val="32"/>
          <w:szCs w:val="32"/>
          <w:lang w:val="en-US" w:eastAsia="zh-CN"/>
        </w:rPr>
        <w:t>安排</w:t>
      </w:r>
      <w:r>
        <w:rPr>
          <w:rFonts w:hint="eastAsia" w:ascii="仿宋_GB2312" w:eastAsia="仿宋_GB2312"/>
          <w:sz w:val="32"/>
          <w:szCs w:val="32"/>
        </w:rPr>
        <w:t>的行政单位基本医疗保险缴费经费，未参加医疗保险的行政单位的公费医疗经费，按国家规定享受离休人员、红军老战士待遇人员的医疗经费。</w:t>
      </w:r>
      <w:r>
        <w:rPr>
          <w:rFonts w:hint="eastAsia" w:ascii="仿宋_GB2312" w:eastAsia="仿宋_GB2312"/>
          <w:sz w:val="32"/>
          <w:szCs w:val="32"/>
        </w:rPr>
        <w:br w:type="textWrapping"/>
      </w:r>
      <w:r>
        <w:rPr>
          <w:rFonts w:hint="eastAsia" w:ascii="仿宋_GB2312" w:eastAsia="仿宋_GB2312"/>
          <w:sz w:val="32"/>
          <w:szCs w:val="32"/>
        </w:rPr>
        <w:t xml:space="preserve">    13.住房保障支出（类）住房改革支出（款）住房公积金（项）:指反映行政事业单位按人力资源和社会保障部、财政部规定的基本工资和津贴补贴以及规定比例为职工缴纳的住房公积金。</w:t>
      </w:r>
    </w:p>
    <w:p>
      <w:pPr>
        <w:spacing w:line="600" w:lineRule="exact"/>
        <w:ind w:firstLine="640"/>
        <w:rPr>
          <w:rFonts w:ascii="仿宋" w:eastAsia="仿宋"/>
          <w:b/>
          <w:color w:val="000000"/>
          <w:sz w:val="32"/>
          <w:szCs w:val="32"/>
        </w:rPr>
      </w:pPr>
      <w:r>
        <w:rPr>
          <w:rFonts w:hint="eastAsia" w:ascii="仿宋" w:eastAsia="仿宋"/>
          <w:b/>
          <w:color w:val="000000"/>
          <w:sz w:val="32"/>
          <w:szCs w:val="32"/>
        </w:rPr>
        <w:t>（解释本部门决算报表中全部功能分类科目至项级，请参照《</w:t>
      </w:r>
      <w:r>
        <w:rPr>
          <w:rFonts w:ascii="仿宋" w:eastAsia="仿宋"/>
          <w:b/>
          <w:color w:val="000000"/>
          <w:sz w:val="32"/>
          <w:szCs w:val="32"/>
        </w:rPr>
        <w:t>2020</w:t>
      </w:r>
      <w:r>
        <w:rPr>
          <w:rFonts w:hint="eastAsia" w:ascii="仿宋" w:eastAsia="仿宋"/>
          <w:b/>
          <w:color w:val="000000"/>
          <w:sz w:val="32"/>
          <w:szCs w:val="32"/>
        </w:rPr>
        <w:t>年政府收支分类科目》增减内容。）</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14</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15</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16</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27"/>
        <w:spacing w:line="560" w:lineRule="exact"/>
        <w:ind w:firstLine="640" w:firstLineChars="200"/>
        <w:rPr>
          <w:rFonts w:ascii="仿宋_GB2312" w:eastAsia="仿宋_GB2312"/>
          <w:sz w:val="32"/>
          <w:szCs w:val="32"/>
        </w:rPr>
      </w:pPr>
      <w:r>
        <w:rPr>
          <w:rFonts w:hint="eastAsia" w:ascii="仿宋_GB2312" w:eastAsia="仿宋_GB2312"/>
          <w:sz w:val="32"/>
          <w:szCs w:val="32"/>
        </w:rPr>
        <w:t>17</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7"/>
        <w:spacing w:line="560" w:lineRule="exact"/>
        <w:ind w:firstLine="640" w:firstLineChars="200"/>
        <w:rPr>
          <w:rFonts w:ascii="仿宋_GB2312" w:eastAsia="仿宋_GB2312"/>
          <w:sz w:val="32"/>
          <w:szCs w:val="32"/>
        </w:rPr>
      </w:pPr>
      <w:r>
        <w:rPr>
          <w:rFonts w:hint="eastAsia" w:ascii="仿宋_GB2312" w:eastAsia="仿宋_GB2312"/>
          <w:sz w:val="32"/>
          <w:szCs w:val="32"/>
        </w:rPr>
        <w:t>18</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3" w:firstLineChars="200"/>
        <w:rPr>
          <w:rFonts w:ascii="仿宋" w:eastAsia="仿宋"/>
          <w:b/>
          <w:color w:val="000000"/>
          <w:sz w:val="32"/>
          <w:szCs w:val="32"/>
        </w:rPr>
      </w:pPr>
      <w:r>
        <w:rPr>
          <w:rFonts w:hint="eastAsia" w:ascii="仿宋" w:eastAsia="仿宋"/>
          <w:b/>
          <w:color w:val="000000"/>
          <w:sz w:val="32"/>
          <w:szCs w:val="32"/>
        </w:rPr>
        <w:t>（名词解释部分请根据各部门实际列支情况罗列，并根据本部门职责职能增减名词解释内容。）</w:t>
      </w:r>
    </w:p>
    <w:p>
      <w:pPr>
        <w:widowControl/>
        <w:jc w:val="left"/>
        <w:rPr>
          <w:rStyle w:val="22"/>
          <w:rFonts w:ascii="黑体" w:eastAsia="黑体"/>
          <w:b w:val="0"/>
        </w:rPr>
      </w:pPr>
      <w:bookmarkStart w:id="109" w:name="_Toc15377226"/>
      <w:r>
        <w:rPr>
          <w:rStyle w:val="22"/>
          <w:rFonts w:ascii="黑体" w:eastAsia="黑体"/>
          <w:b w:val="0"/>
        </w:rPr>
        <w:br w:type="page"/>
      </w:r>
    </w:p>
    <w:p>
      <w:pPr>
        <w:spacing w:line="600" w:lineRule="exact"/>
        <w:jc w:val="center"/>
        <w:outlineLvl w:val="0"/>
        <w:rPr>
          <w:rStyle w:val="22"/>
          <w:rFonts w:ascii="仿宋_GB2312" w:eastAsia="仿宋_GB2312"/>
          <w:b w:val="0"/>
          <w:sz w:val="32"/>
          <w:szCs w:val="32"/>
        </w:rPr>
      </w:pPr>
      <w:bookmarkStart w:id="110" w:name="_Toc10954"/>
      <w:bookmarkStart w:id="111" w:name="_Toc15396618"/>
      <w:bookmarkStart w:id="112" w:name="_Toc79163635"/>
      <w:r>
        <w:rPr>
          <w:rFonts w:hint="eastAsia" w:ascii="仿宋_GB2312" w:eastAsia="仿宋_GB2312"/>
          <w:color w:val="000000"/>
          <w:sz w:val="32"/>
          <w:szCs w:val="32"/>
        </w:rPr>
        <w:t>第四</w:t>
      </w:r>
      <w:r>
        <w:rPr>
          <w:rStyle w:val="22"/>
          <w:rFonts w:hint="eastAsia" w:ascii="仿宋_GB2312" w:eastAsia="仿宋_GB2312"/>
          <w:b w:val="0"/>
          <w:sz w:val="32"/>
          <w:szCs w:val="32"/>
        </w:rPr>
        <w:t>部分 附表</w:t>
      </w:r>
      <w:bookmarkEnd w:id="109"/>
      <w:bookmarkEnd w:id="110"/>
      <w:bookmarkEnd w:id="111"/>
      <w:bookmarkEnd w:id="112"/>
    </w:p>
    <w:p>
      <w:pPr>
        <w:pStyle w:val="3"/>
        <w:rPr>
          <w:rFonts w:ascii="仿宋_GB2312" w:eastAsia="仿宋_GB2312"/>
          <w:color w:val="000000"/>
        </w:rPr>
      </w:pPr>
      <w:bookmarkStart w:id="113" w:name="_Toc11501"/>
      <w:bookmarkStart w:id="114" w:name="_Toc15396619"/>
      <w:bookmarkStart w:id="115" w:name="_Toc79163636"/>
      <w:r>
        <w:rPr>
          <w:rFonts w:hint="eastAsia" w:ascii="仿宋_GB2312" w:eastAsia="仿宋_GB2312"/>
          <w:b w:val="0"/>
          <w:color w:val="000000"/>
        </w:rPr>
        <w:t>一、收</w:t>
      </w:r>
      <w:r>
        <w:rPr>
          <w:rStyle w:val="23"/>
          <w:rFonts w:hint="eastAsia" w:ascii="仿宋_GB2312" w:eastAsia="仿宋_GB2312"/>
          <w:b w:val="0"/>
          <w:bCs w:val="0"/>
        </w:rPr>
        <w:t>入支出决算总表</w:t>
      </w:r>
      <w:bookmarkEnd w:id="113"/>
      <w:bookmarkEnd w:id="114"/>
      <w:bookmarkEnd w:id="115"/>
    </w:p>
    <w:p>
      <w:pPr>
        <w:pStyle w:val="3"/>
        <w:rPr>
          <w:rFonts w:ascii="仿宋_GB2312" w:eastAsia="仿宋_GB2312"/>
          <w:color w:val="000000"/>
        </w:rPr>
      </w:pPr>
      <w:bookmarkStart w:id="116" w:name="_Toc79163637"/>
      <w:bookmarkStart w:id="117" w:name="_Toc15396620"/>
      <w:bookmarkStart w:id="118" w:name="_Toc24398"/>
      <w:r>
        <w:rPr>
          <w:rFonts w:hint="eastAsia" w:ascii="仿宋_GB2312" w:eastAsia="仿宋_GB2312"/>
          <w:b w:val="0"/>
          <w:color w:val="000000"/>
        </w:rPr>
        <w:t>二、收</w:t>
      </w:r>
      <w:r>
        <w:rPr>
          <w:rStyle w:val="23"/>
          <w:rFonts w:hint="eastAsia" w:ascii="仿宋_GB2312" w:eastAsia="仿宋_GB2312"/>
          <w:b w:val="0"/>
          <w:bCs w:val="0"/>
        </w:rPr>
        <w:t>入决算表</w:t>
      </w:r>
      <w:bookmarkEnd w:id="116"/>
      <w:bookmarkEnd w:id="117"/>
      <w:bookmarkEnd w:id="118"/>
    </w:p>
    <w:p>
      <w:pPr>
        <w:pStyle w:val="3"/>
        <w:rPr>
          <w:rFonts w:ascii="仿宋_GB2312" w:eastAsia="仿宋_GB2312"/>
          <w:color w:val="000000"/>
        </w:rPr>
      </w:pPr>
      <w:bookmarkStart w:id="119" w:name="_Toc15396621"/>
      <w:bookmarkStart w:id="120" w:name="_Toc3136"/>
      <w:bookmarkStart w:id="121" w:name="_Toc79163638"/>
      <w:r>
        <w:rPr>
          <w:rStyle w:val="23"/>
          <w:rFonts w:hint="eastAsia" w:ascii="仿宋_GB2312" w:eastAsia="仿宋_GB2312"/>
          <w:b w:val="0"/>
          <w:bCs w:val="0"/>
        </w:rPr>
        <w:t>三、</w:t>
      </w:r>
      <w:r>
        <w:rPr>
          <w:rFonts w:hint="eastAsia" w:ascii="仿宋_GB2312" w:eastAsia="仿宋_GB2312"/>
          <w:b w:val="0"/>
          <w:color w:val="000000"/>
        </w:rPr>
        <w:t>支</w:t>
      </w:r>
      <w:r>
        <w:rPr>
          <w:rStyle w:val="23"/>
          <w:rFonts w:hint="eastAsia" w:ascii="仿宋_GB2312" w:eastAsia="仿宋_GB2312"/>
          <w:b w:val="0"/>
          <w:bCs w:val="0"/>
        </w:rPr>
        <w:t>出决算表</w:t>
      </w:r>
      <w:bookmarkEnd w:id="119"/>
      <w:bookmarkEnd w:id="120"/>
      <w:bookmarkEnd w:id="121"/>
    </w:p>
    <w:p>
      <w:pPr>
        <w:pStyle w:val="3"/>
        <w:rPr>
          <w:rFonts w:ascii="仿宋_GB2312" w:eastAsia="仿宋_GB2312"/>
          <w:b w:val="0"/>
          <w:color w:val="000000"/>
        </w:rPr>
      </w:pPr>
      <w:bookmarkStart w:id="122" w:name="_Toc79163639"/>
      <w:bookmarkStart w:id="123" w:name="_Toc15396622"/>
      <w:bookmarkStart w:id="124" w:name="_Toc11739"/>
      <w:r>
        <w:rPr>
          <w:rStyle w:val="23"/>
          <w:rFonts w:hint="eastAsia" w:ascii="仿宋_GB2312" w:eastAsia="仿宋_GB2312"/>
          <w:b w:val="0"/>
          <w:bCs w:val="0"/>
        </w:rPr>
        <w:t>四、</w:t>
      </w:r>
      <w:r>
        <w:rPr>
          <w:rFonts w:hint="eastAsia" w:ascii="仿宋_GB2312" w:eastAsia="仿宋_GB2312"/>
          <w:b w:val="0"/>
          <w:color w:val="000000"/>
        </w:rPr>
        <w:t>财</w:t>
      </w:r>
      <w:r>
        <w:rPr>
          <w:rStyle w:val="23"/>
          <w:rFonts w:hint="eastAsia" w:ascii="仿宋_GB2312" w:eastAsia="仿宋_GB2312"/>
          <w:b w:val="0"/>
          <w:bCs w:val="0"/>
        </w:rPr>
        <w:t>政拨款收入支出决算总表</w:t>
      </w:r>
      <w:bookmarkEnd w:id="122"/>
      <w:bookmarkEnd w:id="123"/>
      <w:bookmarkEnd w:id="124"/>
    </w:p>
    <w:p>
      <w:pPr>
        <w:pStyle w:val="3"/>
        <w:rPr>
          <w:rStyle w:val="23"/>
          <w:rFonts w:ascii="仿宋_GB2312" w:eastAsia="仿宋_GB2312"/>
          <w:b w:val="0"/>
          <w:bCs w:val="0"/>
        </w:rPr>
      </w:pPr>
      <w:bookmarkStart w:id="125" w:name="_Toc15396623"/>
      <w:bookmarkStart w:id="126" w:name="_Toc79163640"/>
      <w:bookmarkStart w:id="127" w:name="_Toc12714"/>
      <w:r>
        <w:rPr>
          <w:rStyle w:val="23"/>
          <w:rFonts w:hint="eastAsia" w:ascii="仿宋_GB2312" w:eastAsia="仿宋_GB2312"/>
          <w:b w:val="0"/>
          <w:bCs w:val="0"/>
        </w:rPr>
        <w:t>五、</w:t>
      </w:r>
      <w:r>
        <w:rPr>
          <w:rFonts w:hint="eastAsia" w:ascii="仿宋_GB2312" w:eastAsia="仿宋_GB2312"/>
          <w:b w:val="0"/>
          <w:color w:val="000000"/>
        </w:rPr>
        <w:t>财</w:t>
      </w:r>
      <w:r>
        <w:rPr>
          <w:rStyle w:val="23"/>
          <w:rFonts w:hint="eastAsia" w:ascii="仿宋_GB2312" w:eastAsia="仿宋_GB2312"/>
          <w:b w:val="0"/>
          <w:bCs w:val="0"/>
        </w:rPr>
        <w:t>政拨款支出决算明细表</w:t>
      </w:r>
      <w:bookmarkEnd w:id="125"/>
      <w:bookmarkEnd w:id="126"/>
      <w:bookmarkEnd w:id="127"/>
      <w:bookmarkStart w:id="128" w:name="_Toc15396624"/>
    </w:p>
    <w:p>
      <w:pPr>
        <w:pStyle w:val="3"/>
        <w:rPr>
          <w:rFonts w:ascii="仿宋_GB2312" w:eastAsia="仿宋_GB2312"/>
          <w:color w:val="000000"/>
        </w:rPr>
      </w:pPr>
      <w:bookmarkStart w:id="129" w:name="_Toc79163641"/>
      <w:bookmarkStart w:id="130" w:name="_Toc1674"/>
      <w:r>
        <w:rPr>
          <w:rStyle w:val="23"/>
          <w:rFonts w:hint="eastAsia" w:ascii="仿宋_GB2312" w:eastAsia="仿宋_GB2312"/>
          <w:b w:val="0"/>
          <w:bCs w:val="0"/>
        </w:rPr>
        <w:t>六、</w:t>
      </w:r>
      <w:r>
        <w:rPr>
          <w:rFonts w:hint="eastAsia" w:ascii="仿宋_GB2312" w:eastAsia="仿宋_GB2312"/>
          <w:b w:val="0"/>
          <w:color w:val="000000"/>
        </w:rPr>
        <w:t>一</w:t>
      </w:r>
      <w:r>
        <w:rPr>
          <w:rStyle w:val="23"/>
          <w:rFonts w:hint="eastAsia" w:ascii="仿宋_GB2312" w:eastAsia="仿宋_GB2312"/>
          <w:b w:val="0"/>
          <w:bCs w:val="0"/>
        </w:rPr>
        <w:t>般公共预算财政拨款支出决算表</w:t>
      </w:r>
      <w:bookmarkEnd w:id="128"/>
      <w:bookmarkEnd w:id="129"/>
      <w:bookmarkEnd w:id="130"/>
    </w:p>
    <w:p>
      <w:pPr>
        <w:pStyle w:val="3"/>
        <w:rPr>
          <w:rFonts w:ascii="仿宋_GB2312" w:eastAsia="仿宋_GB2312"/>
          <w:color w:val="000000"/>
        </w:rPr>
      </w:pPr>
      <w:bookmarkStart w:id="131" w:name="_Toc22641"/>
      <w:bookmarkStart w:id="132" w:name="_Toc79163642"/>
      <w:bookmarkStart w:id="133" w:name="_Toc15396625"/>
      <w:r>
        <w:rPr>
          <w:rStyle w:val="23"/>
          <w:rFonts w:hint="eastAsia" w:ascii="仿宋_GB2312" w:eastAsia="仿宋_GB2312"/>
          <w:b w:val="0"/>
          <w:bCs w:val="0"/>
        </w:rPr>
        <w:t>七、</w:t>
      </w:r>
      <w:r>
        <w:rPr>
          <w:rFonts w:hint="eastAsia" w:ascii="仿宋_GB2312" w:eastAsia="仿宋_GB2312"/>
          <w:b w:val="0"/>
          <w:color w:val="000000"/>
        </w:rPr>
        <w:t>一</w:t>
      </w:r>
      <w:r>
        <w:rPr>
          <w:rStyle w:val="23"/>
          <w:rFonts w:hint="eastAsia" w:ascii="仿宋_GB2312" w:eastAsia="仿宋_GB2312"/>
          <w:b w:val="0"/>
          <w:bCs w:val="0"/>
        </w:rPr>
        <w:t>般公共预算财政拨款支出决算明细表</w:t>
      </w:r>
      <w:bookmarkEnd w:id="131"/>
      <w:bookmarkEnd w:id="132"/>
      <w:bookmarkEnd w:id="133"/>
    </w:p>
    <w:p>
      <w:pPr>
        <w:pStyle w:val="3"/>
        <w:rPr>
          <w:rFonts w:ascii="仿宋_GB2312" w:eastAsia="仿宋_GB2312"/>
          <w:color w:val="000000"/>
        </w:rPr>
      </w:pPr>
      <w:bookmarkStart w:id="134" w:name="_Toc15396626"/>
      <w:bookmarkStart w:id="135" w:name="_Toc79163643"/>
      <w:bookmarkStart w:id="136" w:name="_Toc23768"/>
      <w:r>
        <w:rPr>
          <w:rStyle w:val="23"/>
          <w:rFonts w:hint="eastAsia" w:ascii="仿宋_GB2312" w:eastAsia="仿宋_GB2312"/>
          <w:b w:val="0"/>
          <w:bCs w:val="0"/>
        </w:rPr>
        <w:t>八、</w:t>
      </w:r>
      <w:r>
        <w:rPr>
          <w:rFonts w:hint="eastAsia" w:ascii="仿宋_GB2312" w:eastAsia="仿宋_GB2312"/>
          <w:b w:val="0"/>
          <w:color w:val="000000"/>
        </w:rPr>
        <w:t>一</w:t>
      </w:r>
      <w:r>
        <w:rPr>
          <w:rStyle w:val="23"/>
          <w:rFonts w:hint="eastAsia" w:ascii="仿宋_GB2312" w:eastAsia="仿宋_GB2312"/>
          <w:b w:val="0"/>
          <w:bCs w:val="0"/>
        </w:rPr>
        <w:t>般公共预算财政拨款基本支出决算表</w:t>
      </w:r>
      <w:bookmarkEnd w:id="134"/>
      <w:bookmarkEnd w:id="135"/>
      <w:bookmarkEnd w:id="136"/>
    </w:p>
    <w:p>
      <w:pPr>
        <w:pStyle w:val="3"/>
        <w:rPr>
          <w:rFonts w:ascii="仿宋_GB2312" w:eastAsia="仿宋_GB2312"/>
          <w:color w:val="000000"/>
        </w:rPr>
      </w:pPr>
      <w:bookmarkStart w:id="137" w:name="_Toc15396627"/>
      <w:bookmarkStart w:id="138" w:name="_Toc79163644"/>
      <w:bookmarkStart w:id="139" w:name="_Toc24131"/>
      <w:r>
        <w:rPr>
          <w:rStyle w:val="23"/>
          <w:rFonts w:hint="eastAsia" w:ascii="仿宋_GB2312" w:eastAsia="仿宋_GB2312"/>
          <w:b w:val="0"/>
          <w:bCs w:val="0"/>
        </w:rPr>
        <w:t>九、</w:t>
      </w:r>
      <w:r>
        <w:rPr>
          <w:rFonts w:hint="eastAsia" w:ascii="仿宋_GB2312" w:eastAsia="仿宋_GB2312"/>
          <w:b w:val="0"/>
          <w:color w:val="000000"/>
        </w:rPr>
        <w:t>一</w:t>
      </w:r>
      <w:r>
        <w:rPr>
          <w:rStyle w:val="23"/>
          <w:rFonts w:hint="eastAsia" w:ascii="仿宋_GB2312" w:eastAsia="仿宋_GB2312"/>
          <w:b w:val="0"/>
          <w:bCs w:val="0"/>
        </w:rPr>
        <w:t>般公共预算财政拨款项目支出决算表</w:t>
      </w:r>
      <w:bookmarkEnd w:id="137"/>
      <w:bookmarkEnd w:id="138"/>
      <w:bookmarkEnd w:id="139"/>
    </w:p>
    <w:p>
      <w:pPr>
        <w:pStyle w:val="3"/>
        <w:rPr>
          <w:rFonts w:ascii="仿宋_GB2312" w:eastAsia="仿宋_GB2312"/>
          <w:color w:val="000000"/>
        </w:rPr>
      </w:pPr>
      <w:bookmarkStart w:id="140" w:name="_Toc30544"/>
      <w:bookmarkStart w:id="141" w:name="_Toc79163645"/>
      <w:bookmarkStart w:id="142" w:name="_Toc15396628"/>
      <w:r>
        <w:rPr>
          <w:rStyle w:val="23"/>
          <w:rFonts w:hint="eastAsia" w:ascii="仿宋_GB2312" w:eastAsia="仿宋_GB2312"/>
          <w:b w:val="0"/>
          <w:bCs w:val="0"/>
        </w:rPr>
        <w:t>十、</w:t>
      </w:r>
      <w:r>
        <w:rPr>
          <w:rFonts w:hint="eastAsia" w:ascii="仿宋_GB2312" w:eastAsia="仿宋_GB2312"/>
          <w:b w:val="0"/>
          <w:color w:val="000000"/>
        </w:rPr>
        <w:t>一</w:t>
      </w:r>
      <w:r>
        <w:rPr>
          <w:rStyle w:val="23"/>
          <w:rFonts w:hint="eastAsia" w:ascii="仿宋_GB2312" w:eastAsia="仿宋_GB2312"/>
          <w:b w:val="0"/>
          <w:bCs w:val="0"/>
        </w:rPr>
        <w:t>般公共预算财政拨款“三公”经费支出决算表</w:t>
      </w:r>
      <w:bookmarkEnd w:id="140"/>
      <w:bookmarkEnd w:id="141"/>
      <w:bookmarkEnd w:id="142"/>
    </w:p>
    <w:p>
      <w:pPr>
        <w:pStyle w:val="3"/>
        <w:rPr>
          <w:rFonts w:ascii="仿宋_GB2312" w:eastAsia="仿宋_GB2312"/>
          <w:color w:val="000000"/>
        </w:rPr>
      </w:pPr>
      <w:bookmarkStart w:id="143" w:name="_Toc15396629"/>
      <w:bookmarkStart w:id="144" w:name="_Toc14508"/>
      <w:bookmarkStart w:id="145" w:name="_Toc79163646"/>
      <w:r>
        <w:rPr>
          <w:rStyle w:val="23"/>
          <w:rFonts w:hint="eastAsia" w:ascii="仿宋_GB2312" w:eastAsia="仿宋_GB2312"/>
          <w:b w:val="0"/>
          <w:bCs w:val="0"/>
        </w:rPr>
        <w:t>十一、</w:t>
      </w:r>
      <w:r>
        <w:rPr>
          <w:rFonts w:hint="eastAsia" w:ascii="仿宋_GB2312" w:eastAsia="仿宋_GB2312"/>
          <w:b w:val="0"/>
          <w:color w:val="000000"/>
        </w:rPr>
        <w:t>政</w:t>
      </w:r>
      <w:r>
        <w:rPr>
          <w:rStyle w:val="23"/>
          <w:rFonts w:hint="eastAsia" w:ascii="仿宋_GB2312" w:eastAsia="仿宋_GB2312"/>
          <w:b w:val="0"/>
          <w:bCs w:val="0"/>
        </w:rPr>
        <w:t>府性基金预算财政拨款收入支出决算表</w:t>
      </w:r>
      <w:bookmarkEnd w:id="143"/>
      <w:bookmarkEnd w:id="144"/>
      <w:bookmarkEnd w:id="145"/>
    </w:p>
    <w:p>
      <w:pPr>
        <w:pStyle w:val="3"/>
        <w:rPr>
          <w:rFonts w:ascii="仿宋_GB2312" w:eastAsia="仿宋_GB2312"/>
          <w:color w:val="000000"/>
        </w:rPr>
      </w:pPr>
      <w:bookmarkStart w:id="146" w:name="_Toc15396630"/>
      <w:bookmarkStart w:id="147" w:name="_Toc25018"/>
      <w:bookmarkStart w:id="148" w:name="_Toc79163647"/>
      <w:r>
        <w:rPr>
          <w:rStyle w:val="23"/>
          <w:rFonts w:hint="eastAsia" w:ascii="仿宋_GB2312" w:eastAsia="仿宋_GB2312"/>
          <w:b w:val="0"/>
          <w:bCs w:val="0"/>
        </w:rPr>
        <w:t>十二、</w:t>
      </w:r>
      <w:r>
        <w:rPr>
          <w:rFonts w:hint="eastAsia" w:ascii="仿宋_GB2312" w:eastAsia="仿宋_GB2312"/>
          <w:b w:val="0"/>
          <w:color w:val="000000"/>
        </w:rPr>
        <w:t>政</w:t>
      </w:r>
      <w:r>
        <w:rPr>
          <w:rStyle w:val="23"/>
          <w:rFonts w:hint="eastAsia" w:ascii="仿宋_GB2312" w:eastAsia="仿宋_GB2312"/>
          <w:b w:val="0"/>
          <w:bCs w:val="0"/>
        </w:rPr>
        <w:t>府性基金预算财政拨款“三公”经费支出决算表</w:t>
      </w:r>
      <w:bookmarkEnd w:id="146"/>
      <w:bookmarkEnd w:id="147"/>
      <w:bookmarkEnd w:id="148"/>
    </w:p>
    <w:p>
      <w:pPr>
        <w:pStyle w:val="3"/>
        <w:rPr>
          <w:rStyle w:val="23"/>
          <w:rFonts w:ascii="仿宋_GB2312" w:eastAsia="仿宋_GB2312"/>
          <w:b w:val="0"/>
          <w:bCs w:val="0"/>
        </w:rPr>
      </w:pPr>
      <w:bookmarkStart w:id="149" w:name="_Toc79163648"/>
      <w:bookmarkStart w:id="150" w:name="_Toc15396631"/>
      <w:bookmarkStart w:id="151" w:name="_Toc10014"/>
      <w:r>
        <w:rPr>
          <w:rStyle w:val="23"/>
          <w:rFonts w:hint="eastAsia" w:ascii="仿宋_GB2312" w:eastAsia="仿宋_GB2312"/>
          <w:b w:val="0"/>
          <w:bCs w:val="0"/>
        </w:rPr>
        <w:t>十三、</w:t>
      </w:r>
      <w:r>
        <w:rPr>
          <w:rFonts w:hint="eastAsia" w:ascii="仿宋_GB2312" w:eastAsia="仿宋_GB2312"/>
          <w:b w:val="0"/>
          <w:color w:val="000000"/>
        </w:rPr>
        <w:t>国</w:t>
      </w:r>
      <w:r>
        <w:rPr>
          <w:rStyle w:val="23"/>
          <w:rFonts w:hint="eastAsia" w:ascii="仿宋_GB2312" w:eastAsia="仿宋_GB2312"/>
          <w:b w:val="0"/>
          <w:bCs w:val="0"/>
        </w:rPr>
        <w:t>有资本经营预算财政拨款支出决算表</w:t>
      </w:r>
      <w:bookmarkEnd w:id="149"/>
      <w:bookmarkEnd w:id="150"/>
      <w:bookmarkEnd w:id="151"/>
    </w:p>
    <w:p>
      <w:pPr>
        <w:pStyle w:val="3"/>
        <w:rPr>
          <w:rStyle w:val="23"/>
          <w:rFonts w:ascii="仿宋_GB2312" w:eastAsia="仿宋_GB2312"/>
          <w:b w:val="0"/>
          <w:bCs w:val="0"/>
        </w:rPr>
      </w:pPr>
      <w:bookmarkStart w:id="152" w:name="_Toc15740"/>
      <w:bookmarkStart w:id="153" w:name="_Toc79163649"/>
      <w:r>
        <w:rPr>
          <w:rStyle w:val="23"/>
          <w:rFonts w:hint="eastAsia" w:ascii="仿宋_GB2312" w:eastAsia="仿宋_GB2312"/>
          <w:b w:val="0"/>
          <w:bCs w:val="0"/>
        </w:rPr>
        <w:t>十四、国有资本经营预算财政拨款支出决算表</w:t>
      </w:r>
      <w:bookmarkEnd w:id="152"/>
      <w:bookmarkEnd w:id="153"/>
    </w:p>
    <w:sectPr>
      <w:headerReference r:id="rId3" w:type="default"/>
      <w:footerReference r:id="rId4" w:type="default"/>
      <w:pgSz w:w="11906" w:h="16838"/>
      <w:pgMar w:top="1440" w:right="1800" w:bottom="1440" w:left="1800" w:header="851" w:footer="992" w:gutter="0"/>
      <w:pgNumType w:start="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PAGE   \* MERGEFORMAT</w:instrText>
    </w:r>
    <w:r>
      <w:fldChar w:fldCharType="separate"/>
    </w:r>
    <w:r>
      <w:t>4</w:t>
    </w:r>
    <w:r>
      <w:fldChar w:fldCharType="end"/>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pPr>
        <w:tabs>
          <w:tab w:val="left" w:pos="0"/>
        </w:tabs>
        <w:ind w:left="0" w:firstLine="0"/>
      </w:pPr>
      <w:rPr>
        <w:rFonts w:hint="eastAsia" w:cs="Times New Roman"/>
      </w:rPr>
    </w:lvl>
  </w:abstractNum>
  <w:abstractNum w:abstractNumId="1">
    <w:nsid w:val="E2FA047D"/>
    <w:multiLevelType w:val="singleLevel"/>
    <w:tmpl w:val="E2FA047D"/>
    <w:lvl w:ilvl="0" w:tentative="0">
      <w:start w:val="3"/>
      <w:numFmt w:val="chineseCounting"/>
      <w:suff w:val="space"/>
      <w:lvlText w:val="第%1部分"/>
      <w:lvlJc w:val="left"/>
      <w:pPr>
        <w:tabs>
          <w:tab w:val="left" w:pos="0"/>
        </w:tabs>
        <w:ind w:left="0" w:firstLine="0"/>
      </w:pPr>
      <w:rPr>
        <w:rFonts w:hint="eastAsia"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compatSetting w:name="compatibilityMode" w:uri="http://schemas.microsoft.com/office/word" w:val="14"/>
  </w:compat>
  <w:rsids>
    <w:rsidRoot w:val="00000000"/>
    <w:rsid w:val="3B3F62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2"/>
    <w:qFormat/>
    <w:uiPriority w:val="0"/>
    <w:pPr>
      <w:keepNext/>
      <w:keepLines/>
      <w:widowControl w:val="0"/>
      <w:spacing w:before="340" w:after="330" w:line="578" w:lineRule="auto"/>
      <w:outlineLvl w:val="0"/>
    </w:pPr>
    <w:rPr>
      <w:b/>
      <w:bCs/>
      <w:kern w:val="44"/>
      <w:sz w:val="44"/>
      <w:szCs w:val="44"/>
    </w:rPr>
  </w:style>
  <w:style w:type="paragraph" w:styleId="3">
    <w:name w:val="heading 2"/>
    <w:basedOn w:val="1"/>
    <w:next w:val="1"/>
    <w:link w:val="23"/>
    <w:qFormat/>
    <w:uiPriority w:val="0"/>
    <w:pPr>
      <w:keepNext/>
      <w:keepLines/>
      <w:widowControl w:val="0"/>
      <w:spacing w:before="260" w:after="260" w:line="415" w:lineRule="auto"/>
      <w:outlineLvl w:val="1"/>
    </w:pPr>
    <w:rPr>
      <w:rFonts w:ascii="Cambria" w:hAnsi="Cambria"/>
      <w:b/>
      <w:bCs/>
      <w:sz w:val="32"/>
      <w:szCs w:val="32"/>
    </w:rPr>
  </w:style>
  <w:style w:type="paragraph" w:styleId="4">
    <w:name w:val="heading 3"/>
    <w:basedOn w:val="1"/>
    <w:next w:val="1"/>
    <w:uiPriority w:val="0"/>
    <w:pPr>
      <w:keepNext/>
      <w:keepLines/>
      <w:widowControl w:val="0"/>
      <w:spacing w:before="260" w:after="260" w:line="415" w:lineRule="auto"/>
      <w:outlineLvl w:val="2"/>
    </w:pPr>
    <w:rPr>
      <w:b/>
      <w:bCs/>
      <w:sz w:val="32"/>
      <w:szCs w:val="32"/>
    </w:rPr>
  </w:style>
  <w:style w:type="character" w:default="1" w:styleId="19">
    <w:name w:val="Default Paragraph Font"/>
    <w:uiPriority w:val="0"/>
  </w:style>
  <w:style w:type="table" w:default="1" w:styleId="18">
    <w:name w:val="Normal Table"/>
    <w:semiHidden/>
    <w:uiPriority w:val="0"/>
    <w:tblPr>
      <w:tblCellMar>
        <w:top w:w="0" w:type="dxa"/>
        <w:left w:w="108" w:type="dxa"/>
        <w:bottom w:w="0" w:type="dxa"/>
        <w:right w:w="108" w:type="dxa"/>
      </w:tblCellMar>
    </w:tblPr>
  </w:style>
  <w:style w:type="paragraph" w:styleId="5">
    <w:name w:val="toc 7"/>
    <w:basedOn w:val="1"/>
    <w:next w:val="1"/>
    <w:qFormat/>
    <w:uiPriority w:val="0"/>
    <w:pPr>
      <w:ind w:left="1260"/>
      <w:jc w:val="left"/>
    </w:pPr>
    <w:rPr>
      <w:rFonts w:ascii="等线" w:eastAsia="等线"/>
      <w:sz w:val="18"/>
      <w:szCs w:val="18"/>
    </w:rPr>
  </w:style>
  <w:style w:type="paragraph" w:styleId="6">
    <w:name w:val="Body Text"/>
    <w:basedOn w:val="1"/>
    <w:qFormat/>
    <w:uiPriority w:val="0"/>
    <w:pPr>
      <w:spacing w:before="30" w:beforeLines="30"/>
    </w:pPr>
    <w:rPr>
      <w:rFonts w:ascii="仿宋_GB2312" w:eastAsia="仿宋_GB2312"/>
      <w:kern w:val="0"/>
      <w:sz w:val="24"/>
      <w:szCs w:val="20"/>
      <w:lang w:val="zh-CN"/>
    </w:rPr>
  </w:style>
  <w:style w:type="paragraph" w:styleId="7">
    <w:name w:val="toc 5"/>
    <w:basedOn w:val="1"/>
    <w:next w:val="1"/>
    <w:qFormat/>
    <w:uiPriority w:val="0"/>
    <w:pPr>
      <w:ind w:left="840"/>
      <w:jc w:val="left"/>
    </w:pPr>
    <w:rPr>
      <w:rFonts w:ascii="等线" w:eastAsia="等线"/>
      <w:sz w:val="18"/>
      <w:szCs w:val="18"/>
    </w:rPr>
  </w:style>
  <w:style w:type="paragraph" w:styleId="8">
    <w:name w:val="toc 3"/>
    <w:basedOn w:val="1"/>
    <w:next w:val="1"/>
    <w:qFormat/>
    <w:uiPriority w:val="0"/>
    <w:pPr>
      <w:ind w:left="420"/>
      <w:jc w:val="left"/>
    </w:pPr>
    <w:rPr>
      <w:rFonts w:ascii="等线" w:eastAsia="等线"/>
      <w:i/>
      <w:iCs/>
      <w:sz w:val="20"/>
      <w:szCs w:val="20"/>
    </w:rPr>
  </w:style>
  <w:style w:type="paragraph" w:styleId="9">
    <w:name w:val="toc 8"/>
    <w:basedOn w:val="1"/>
    <w:next w:val="1"/>
    <w:qFormat/>
    <w:uiPriority w:val="0"/>
    <w:pPr>
      <w:ind w:left="1470"/>
      <w:jc w:val="left"/>
    </w:pPr>
    <w:rPr>
      <w:rFonts w:ascii="等线" w:eastAsia="等线"/>
      <w:sz w:val="18"/>
      <w:szCs w:val="18"/>
    </w:rPr>
  </w:style>
  <w:style w:type="paragraph" w:styleId="10">
    <w:name w:val="Balloon Text"/>
    <w:basedOn w:val="1"/>
    <w:qFormat/>
    <w:uiPriority w:val="0"/>
    <w:rPr>
      <w:sz w:val="18"/>
      <w:szCs w:val="18"/>
    </w:rPr>
  </w:style>
  <w:style w:type="paragraph" w:styleId="11">
    <w:name w:val="footer"/>
    <w:basedOn w:val="1"/>
    <w:qFormat/>
    <w:uiPriority w:val="0"/>
    <w:pPr>
      <w:tabs>
        <w:tab w:val="center" w:pos="4153"/>
        <w:tab w:val="right" w:pos="8306"/>
      </w:tabs>
      <w:snapToGrid w:val="0"/>
      <w:jc w:val="left"/>
    </w:pPr>
    <w:rPr>
      <w:rFonts w:ascii="Calibri" w:hAnsi="Calibri"/>
      <w:kern w:val="0"/>
      <w:sz w:val="18"/>
      <w:szCs w:val="20"/>
      <w:lang w:val="zh-CN"/>
    </w:rPr>
  </w:style>
  <w:style w:type="paragraph" w:styleId="12">
    <w:name w:val="header"/>
    <w:basedOn w:val="1"/>
    <w:qFormat/>
    <w:uiPriority w:val="0"/>
    <w:pPr>
      <w:pBdr>
        <w:bottom w:val="single" w:color="auto" w:sz="6" w:space="1"/>
      </w:pBdr>
      <w:tabs>
        <w:tab w:val="center" w:pos="4153"/>
        <w:tab w:val="right" w:pos="8306"/>
      </w:tabs>
      <w:snapToGrid w:val="0"/>
      <w:jc w:val="center"/>
    </w:pPr>
    <w:rPr>
      <w:rFonts w:ascii="Calibri" w:hAnsi="Calibri"/>
      <w:kern w:val="0"/>
      <w:sz w:val="18"/>
      <w:szCs w:val="20"/>
      <w:lang w:val="zh-CN"/>
    </w:rPr>
  </w:style>
  <w:style w:type="paragraph" w:styleId="13">
    <w:name w:val="toc 1"/>
    <w:basedOn w:val="1"/>
    <w:next w:val="1"/>
    <w:qFormat/>
    <w:uiPriority w:val="0"/>
    <w:pPr>
      <w:spacing w:before="120" w:after="120"/>
      <w:jc w:val="left"/>
    </w:pPr>
    <w:rPr>
      <w:rFonts w:ascii="等线" w:eastAsia="等线"/>
      <w:b/>
      <w:bCs/>
      <w:caps/>
      <w:sz w:val="20"/>
      <w:szCs w:val="20"/>
    </w:rPr>
  </w:style>
  <w:style w:type="paragraph" w:styleId="14">
    <w:name w:val="toc 4"/>
    <w:basedOn w:val="1"/>
    <w:next w:val="1"/>
    <w:qFormat/>
    <w:uiPriority w:val="0"/>
    <w:pPr>
      <w:ind w:left="630"/>
      <w:jc w:val="left"/>
    </w:pPr>
    <w:rPr>
      <w:rFonts w:ascii="等线" w:eastAsia="等线"/>
      <w:sz w:val="18"/>
      <w:szCs w:val="18"/>
    </w:rPr>
  </w:style>
  <w:style w:type="paragraph" w:styleId="15">
    <w:name w:val="toc 6"/>
    <w:basedOn w:val="1"/>
    <w:next w:val="1"/>
    <w:qFormat/>
    <w:uiPriority w:val="0"/>
    <w:pPr>
      <w:ind w:left="1050"/>
      <w:jc w:val="left"/>
    </w:pPr>
    <w:rPr>
      <w:rFonts w:ascii="等线" w:eastAsia="等线"/>
      <w:sz w:val="18"/>
      <w:szCs w:val="18"/>
    </w:rPr>
  </w:style>
  <w:style w:type="paragraph" w:styleId="16">
    <w:name w:val="toc 2"/>
    <w:basedOn w:val="1"/>
    <w:next w:val="1"/>
    <w:qFormat/>
    <w:uiPriority w:val="0"/>
    <w:pPr>
      <w:ind w:left="210"/>
      <w:jc w:val="left"/>
    </w:pPr>
    <w:rPr>
      <w:rFonts w:ascii="等线" w:eastAsia="等线"/>
      <w:smallCaps/>
      <w:sz w:val="20"/>
      <w:szCs w:val="20"/>
    </w:rPr>
  </w:style>
  <w:style w:type="paragraph" w:styleId="17">
    <w:name w:val="toc 9"/>
    <w:basedOn w:val="1"/>
    <w:next w:val="1"/>
    <w:qFormat/>
    <w:uiPriority w:val="0"/>
    <w:pPr>
      <w:ind w:left="1680"/>
      <w:jc w:val="left"/>
    </w:pPr>
    <w:rPr>
      <w:rFonts w:ascii="等线" w:eastAsia="等线"/>
      <w:sz w:val="18"/>
      <w:szCs w:val="18"/>
    </w:rPr>
  </w:style>
  <w:style w:type="character" w:styleId="20">
    <w:name w:val="Strong"/>
    <w:basedOn w:val="19"/>
    <w:qFormat/>
    <w:uiPriority w:val="0"/>
    <w:rPr>
      <w:rFonts w:cs="Times New Roman"/>
      <w:b/>
    </w:rPr>
  </w:style>
  <w:style w:type="character" w:styleId="21">
    <w:name w:val="Hyperlink"/>
    <w:basedOn w:val="19"/>
    <w:qFormat/>
    <w:uiPriority w:val="0"/>
    <w:rPr>
      <w:rFonts w:cs="Times New Roman"/>
      <w:color w:val="0000FF"/>
      <w:u w:val="single"/>
    </w:rPr>
  </w:style>
  <w:style w:type="character" w:customStyle="1" w:styleId="22">
    <w:name w:val="heading 1 Char"/>
    <w:basedOn w:val="19"/>
    <w:link w:val="2"/>
    <w:qFormat/>
    <w:uiPriority w:val="0"/>
    <w:rPr>
      <w:rFonts w:ascii="Times New Roman" w:hAnsi="Times New Roman" w:eastAsia="宋体" w:cs="Times New Roman"/>
      <w:b/>
      <w:bCs/>
      <w:kern w:val="44"/>
      <w:sz w:val="44"/>
      <w:szCs w:val="44"/>
      <w:lang w:val="en-US" w:eastAsia="zh-CN" w:bidi="ar-SA"/>
    </w:rPr>
  </w:style>
  <w:style w:type="character" w:customStyle="1" w:styleId="23">
    <w:name w:val="heading 2 Char"/>
    <w:basedOn w:val="19"/>
    <w:link w:val="3"/>
    <w:qFormat/>
    <w:uiPriority w:val="0"/>
    <w:rPr>
      <w:rFonts w:ascii="Cambria" w:hAnsi="Cambria" w:eastAsia="宋体" w:cs="Times New Roman"/>
      <w:b/>
      <w:bCs/>
      <w:kern w:val="2"/>
      <w:sz w:val="32"/>
      <w:szCs w:val="32"/>
      <w:lang w:val="en-US" w:eastAsia="zh-CN" w:bidi="ar-SA"/>
    </w:rPr>
  </w:style>
  <w:style w:type="character" w:customStyle="1" w:styleId="24">
    <w:name w:val="Body Text Char"/>
    <w:basedOn w:val="19"/>
    <w:qFormat/>
    <w:uiPriority w:val="0"/>
    <w:rPr>
      <w:rFonts w:ascii="Times New Roman" w:hAnsi="Times New Roman" w:cs="Times New Roman"/>
      <w:sz w:val="24"/>
      <w:szCs w:val="24"/>
    </w:rPr>
  </w:style>
  <w:style w:type="character" w:customStyle="1" w:styleId="25">
    <w:name w:val="Footer Char"/>
    <w:basedOn w:val="19"/>
    <w:qFormat/>
    <w:uiPriority w:val="0"/>
    <w:rPr>
      <w:rFonts w:ascii="Times New Roman" w:hAnsi="Times New Roman" w:cs="Times New Roman"/>
      <w:sz w:val="18"/>
      <w:szCs w:val="18"/>
    </w:rPr>
  </w:style>
  <w:style w:type="character" w:customStyle="1" w:styleId="26">
    <w:name w:val="Header Char"/>
    <w:basedOn w:val="19"/>
    <w:qFormat/>
    <w:uiPriority w:val="0"/>
    <w:rPr>
      <w:rFonts w:ascii="Times New Roman" w:hAnsi="Times New Roman" w:cs="Times New Roman"/>
      <w:sz w:val="18"/>
      <w:szCs w:val="18"/>
    </w:rPr>
  </w:style>
  <w:style w:type="paragraph" w:customStyle="1" w:styleId="27">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customStyle="1" w:styleId="28">
    <w:name w:val="列表段落1"/>
    <w:basedOn w:val="1"/>
    <w:qFormat/>
    <w:uiPriority w:val="0"/>
    <w:pPr>
      <w:ind w:firstLine="200" w:firstLineChars="200"/>
    </w:pPr>
  </w:style>
  <w:style w:type="paragraph" w:customStyle="1" w:styleId="29">
    <w:name w:val="TOC 标题1"/>
    <w:basedOn w:val="2"/>
    <w:next w:val="1"/>
    <w:qFormat/>
    <w:uiPriority w:val="0"/>
    <w:pPr>
      <w:keepNext/>
      <w:keepLines/>
      <w:widowControl/>
      <w:spacing w:before="480" w:after="0" w:line="276" w:lineRule="auto"/>
      <w:jc w:val="left"/>
      <w:outlineLvl w:val="9"/>
    </w:pPr>
    <w:rPr>
      <w:rFonts w:ascii="Cambria" w:hAnsi="Cambria"/>
      <w:color w:val="365F91"/>
      <w:kern w:val="0"/>
      <w:sz w:val="28"/>
      <w:szCs w:val="28"/>
    </w:rPr>
  </w:style>
  <w:style w:type="paragraph" w:customStyle="1" w:styleId="30">
    <w:name w:val="TOC Heading1"/>
    <w:basedOn w:val="2"/>
    <w:next w:val="1"/>
    <w:qFormat/>
    <w:uiPriority w:val="0"/>
    <w:pPr>
      <w:keepNext/>
      <w:keepLines/>
      <w:widowControl/>
      <w:spacing w:before="480" w:after="0" w:line="276" w:lineRule="auto"/>
      <w:jc w:val="left"/>
      <w:outlineLvl w:val="9"/>
    </w:pPr>
    <w:rPr>
      <w:rFonts w:ascii="Cambria" w:hAnsi="Cambria"/>
      <w:color w:val="365F91"/>
      <w:kern w:val="0"/>
      <w:sz w:val="28"/>
      <w:szCs w:val="28"/>
    </w:rPr>
  </w:style>
  <w:style w:type="paragraph" w:customStyle="1" w:styleId="31">
    <w:name w:val="TOC 标题2"/>
    <w:basedOn w:val="2"/>
    <w:next w:val="1"/>
    <w:qFormat/>
    <w:uiPriority w:val="0"/>
    <w:pPr>
      <w:keepNext/>
      <w:keepLines/>
      <w:widowControl/>
      <w:spacing w:before="240" w:after="0" w:line="259" w:lineRule="auto"/>
      <w:jc w:val="left"/>
      <w:outlineLvl w:val="9"/>
    </w:pPr>
    <w:rPr>
      <w:rFonts w:ascii="等线 Light" w:eastAsia="等线 Light" w:cs="Times New Roman"/>
      <w:b w:val="0"/>
      <w:bCs w:val="0"/>
      <w:color w:val="2F5496"/>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四川省财政厅</Company>
  <Pages>15</Pages>
  <Words>5449</Words>
  <Characters>5838</Characters>
  <Lines>326</Lines>
  <Paragraphs>153</Paragraphs>
  <TotalTime>11</TotalTime>
  <ScaleCrop>false</ScaleCrop>
  <LinksUpToDate>false</LinksUpToDate>
  <CharactersWithSpaces>5915</CharactersWithSpaces>
  <Application>WPS Office_11.1.0.9208_F1E327BC-269C-435d-A152-05C5408002CA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2021-09-27T04:28:00Z</dcterms:created>
  <dc:creator>曹颖</dc:creator>
  <cp:lastModifiedBy>骑着蜗牛看世界</cp:lastModifiedBy>
  <cp:lastPrinted>2021-09-22T01:50:00Z</cp:lastPrinted>
  <dcterms:modified xsi:type="dcterms:W3CDTF">2022-05-07T13:09:34Z</dcterms:modified>
  <dc:title>阿坝州部门决算说明</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1C78307733A64ABD86BC0A13DB386120</vt:lpwstr>
  </property>
</Properties>
</file>